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0C5A" w14:textId="4152F979" w:rsidR="00E644F9" w:rsidRPr="001B2EF2" w:rsidRDefault="00B202CE" w:rsidP="001B2EF2">
      <w:pPr>
        <w:pStyle w:val="Heading1"/>
      </w:pPr>
      <w:r>
        <w:t>Strategic Options</w:t>
      </w:r>
      <w:r w:rsidR="00E644F9" w:rsidRPr="00E644F9">
        <w:t xml:space="preserve"> - Glossary of Terms</w:t>
      </w:r>
    </w:p>
    <w:p w14:paraId="0AF49700" w14:textId="50ECB2CB" w:rsidR="005914FA" w:rsidRPr="00E644F9" w:rsidRDefault="005914FA" w:rsidP="000155F2">
      <w:pPr>
        <w:pStyle w:val="Heading2"/>
        <w:rPr>
          <w:rFonts w:eastAsia="Times New Roman"/>
          <w:b w:val="0"/>
          <w:lang w:eastAsia="en-GB"/>
        </w:rPr>
      </w:pPr>
      <w:r w:rsidRPr="00E644F9">
        <w:rPr>
          <w:rFonts w:eastAsia="Times New Roman"/>
          <w:lang w:eastAsia="en-GB"/>
        </w:rPr>
        <w:t>Adoption</w:t>
      </w:r>
    </w:p>
    <w:p w14:paraId="28270C3E" w14:textId="5B71F866" w:rsidR="005914FA" w:rsidRPr="00E644F9" w:rsidRDefault="005914FA" w:rsidP="001B2EF2">
      <w:pPr>
        <w:spacing w:line="240" w:lineRule="auto"/>
        <w:rPr>
          <w:rFonts w:ascii="Arial" w:eastAsia="Times New Roman" w:hAnsi="Arial" w:cs="Arial"/>
          <w:b/>
          <w:bCs/>
          <w:color w:val="000000"/>
          <w:lang w:eastAsia="en-GB"/>
        </w:rPr>
      </w:pPr>
      <w:r w:rsidRPr="00E644F9">
        <w:rPr>
          <w:rFonts w:ascii="Arial" w:hAnsi="Arial" w:cs="Arial"/>
        </w:rPr>
        <w:t>Final stage of LDP preparation where the LDP becomes the statutory Development Plan for the purposes of the Act</w:t>
      </w:r>
      <w:r w:rsidR="00CA7674">
        <w:rPr>
          <w:rFonts w:ascii="Arial" w:hAnsi="Arial" w:cs="Arial"/>
        </w:rPr>
        <w:t>.</w:t>
      </w:r>
    </w:p>
    <w:p w14:paraId="71CDE803" w14:textId="4C3C4E10" w:rsidR="00E87661" w:rsidRPr="00E644F9" w:rsidRDefault="00E87661" w:rsidP="000155F2">
      <w:pPr>
        <w:pStyle w:val="Heading2"/>
        <w:rPr>
          <w:rFonts w:eastAsia="Times New Roman"/>
          <w:lang w:eastAsia="en-GB"/>
        </w:rPr>
      </w:pPr>
      <w:r w:rsidRPr="00E644F9">
        <w:rPr>
          <w:rFonts w:eastAsia="Times New Roman"/>
          <w:lang w:eastAsia="en-GB"/>
        </w:rPr>
        <w:t>Accessibility</w:t>
      </w:r>
    </w:p>
    <w:p w14:paraId="041A8B92" w14:textId="5CA51C76" w:rsidR="00E87661" w:rsidRPr="00E644F9" w:rsidRDefault="00E87661" w:rsidP="001B2EF2">
      <w:pPr>
        <w:spacing w:line="240" w:lineRule="auto"/>
        <w:rPr>
          <w:rFonts w:ascii="Arial" w:eastAsia="Times New Roman" w:hAnsi="Arial" w:cs="Arial"/>
          <w:b/>
          <w:bCs/>
          <w:color w:val="000000"/>
          <w:lang w:eastAsia="en-GB"/>
        </w:rPr>
      </w:pPr>
      <w:r w:rsidRPr="00E644F9">
        <w:rPr>
          <w:rFonts w:ascii="Arial" w:eastAsia="Times New Roman" w:hAnsi="Arial" w:cs="Arial"/>
          <w:color w:val="000000"/>
          <w:lang w:eastAsia="en-GB"/>
        </w:rPr>
        <w:t>The ability of people to move around an area and reach places and facilities, including elderly and disabled people, those with young children and those encumbered with luggage or shopping.</w:t>
      </w:r>
    </w:p>
    <w:p w14:paraId="22CD4E0B" w14:textId="034AA7D1" w:rsidR="00C81BFA" w:rsidRPr="00E644F9" w:rsidRDefault="00C81BFA" w:rsidP="000155F2">
      <w:pPr>
        <w:pStyle w:val="Heading2"/>
        <w:rPr>
          <w:rFonts w:eastAsia="Times New Roman"/>
          <w:lang w:eastAsia="en-GB"/>
        </w:rPr>
      </w:pPr>
      <w:r w:rsidRPr="00E644F9">
        <w:rPr>
          <w:rFonts w:eastAsia="Times New Roman"/>
          <w:lang w:eastAsia="en-GB"/>
        </w:rPr>
        <w:t>Affordable Housing</w:t>
      </w:r>
    </w:p>
    <w:p w14:paraId="64200CA7" w14:textId="77777777" w:rsidR="005A1334" w:rsidRPr="00E644F9" w:rsidRDefault="005A1334">
      <w:pPr>
        <w:rPr>
          <w:rFonts w:ascii="Arial" w:hAnsi="Arial" w:cs="Arial"/>
          <w:color w:val="444444"/>
          <w:shd w:val="clear" w:color="auto" w:fill="FFFFFF"/>
        </w:rPr>
      </w:pPr>
      <w:r w:rsidRPr="00E644F9">
        <w:rPr>
          <w:rFonts w:ascii="Arial" w:hAnsi="Arial" w:cs="Arial"/>
          <w:color w:val="444444"/>
          <w:shd w:val="clear" w:color="auto" w:fill="FFFFFF"/>
        </w:rPr>
        <w:t>Affordable housing includes social rented housing that is provided by local authorities and registered social landlords as well as intermediate housing where prices or rents are above those of social rent but below market housing prices or rents.</w:t>
      </w:r>
    </w:p>
    <w:p w14:paraId="5CD238BE" w14:textId="77777777" w:rsidR="000155F2" w:rsidRDefault="00885E73" w:rsidP="000155F2">
      <w:pPr>
        <w:pStyle w:val="Heading2"/>
        <w:rPr>
          <w:rFonts w:eastAsia="Times New Roman"/>
          <w:bCs/>
          <w:lang w:eastAsia="en-GB"/>
        </w:rPr>
      </w:pPr>
      <w:r w:rsidRPr="00E644F9">
        <w:rPr>
          <w:rFonts w:eastAsia="Times New Roman"/>
          <w:bCs/>
          <w:lang w:eastAsia="en-GB"/>
        </w:rPr>
        <w:t>Allocation</w:t>
      </w:r>
    </w:p>
    <w:p w14:paraId="44909A5B" w14:textId="7C6C2B9E" w:rsidR="00885E73" w:rsidRPr="001B2EF2" w:rsidRDefault="00885E73" w:rsidP="000155F2">
      <w:pPr>
        <w:rPr>
          <w:rFonts w:ascii="Arial" w:hAnsi="Arial" w:cs="Arial"/>
          <w:lang w:eastAsia="en-GB"/>
        </w:rPr>
      </w:pPr>
      <w:r w:rsidRPr="001B2EF2">
        <w:rPr>
          <w:rFonts w:ascii="Arial" w:hAnsi="Arial" w:cs="Arial"/>
          <w:lang w:eastAsia="en-GB"/>
        </w:rPr>
        <w:t>Land identified on the adopted LDP proposals map.</w:t>
      </w:r>
    </w:p>
    <w:p w14:paraId="5DD9A5E0" w14:textId="77777777" w:rsidR="000155F2" w:rsidRDefault="00C81BFA" w:rsidP="000155F2">
      <w:pPr>
        <w:pStyle w:val="Heading2"/>
      </w:pPr>
      <w:r w:rsidRPr="00E644F9">
        <w:t>Call for Candidate S</w:t>
      </w:r>
      <w:r w:rsidR="00E644F9" w:rsidRPr="00E644F9">
        <w:t>i</w:t>
      </w:r>
      <w:r w:rsidRPr="00E644F9">
        <w:t>tes</w:t>
      </w:r>
    </w:p>
    <w:p w14:paraId="749CBF94" w14:textId="77777777" w:rsidR="001B2EF2" w:rsidRDefault="005A1334" w:rsidP="001B2EF2">
      <w:pPr>
        <w:rPr>
          <w:rFonts w:ascii="Arial" w:hAnsi="Arial" w:cs="Arial"/>
          <w:color w:val="212529"/>
          <w:shd w:val="clear" w:color="auto" w:fill="FFFFFF"/>
        </w:rPr>
      </w:pPr>
      <w:r w:rsidRPr="00E644F9">
        <w:rPr>
          <w:rFonts w:ascii="Arial" w:hAnsi="Arial" w:cs="Arial"/>
          <w:color w:val="212529"/>
          <w:shd w:val="clear" w:color="auto" w:fill="FFFFFF"/>
        </w:rPr>
        <w:t>A</w:t>
      </w:r>
      <w:r w:rsidR="00FE7B15" w:rsidRPr="00E644F9">
        <w:rPr>
          <w:rFonts w:ascii="Arial" w:hAnsi="Arial" w:cs="Arial"/>
          <w:color w:val="212529"/>
          <w:shd w:val="clear" w:color="auto" w:fill="FFFFFF"/>
        </w:rPr>
        <w:t xml:space="preserve"> process where the</w:t>
      </w:r>
      <w:r w:rsidR="003F6E43" w:rsidRPr="00E644F9">
        <w:rPr>
          <w:rFonts w:ascii="Arial" w:hAnsi="Arial" w:cs="Arial"/>
          <w:color w:val="212529"/>
          <w:shd w:val="clear" w:color="auto" w:fill="FFFFFF"/>
        </w:rPr>
        <w:t xml:space="preserve"> Council invites land or buildings to be submitted for inclusion in the LDP. </w:t>
      </w:r>
    </w:p>
    <w:p w14:paraId="092BD5F0" w14:textId="530EAA01" w:rsidR="000155F2" w:rsidRDefault="00E644F9" w:rsidP="001B2EF2">
      <w:pPr>
        <w:pStyle w:val="Heading2"/>
        <w:rPr>
          <w:rFonts w:eastAsia="Times New Roman"/>
          <w:lang w:eastAsia="en-GB"/>
        </w:rPr>
      </w:pPr>
      <w:r w:rsidRPr="00E644F9">
        <w:rPr>
          <w:rFonts w:eastAsia="Times New Roman"/>
          <w:lang w:eastAsia="en-GB"/>
        </w:rPr>
        <w:t>City of Villages</w:t>
      </w:r>
    </w:p>
    <w:p w14:paraId="7F4C95D3" w14:textId="5D5E63E9" w:rsidR="00E644F9" w:rsidRPr="00E644F9" w:rsidRDefault="00E644F9" w:rsidP="00E644F9">
      <w:pPr>
        <w:rPr>
          <w:rFonts w:ascii="Arial" w:eastAsia="Times New Roman" w:hAnsi="Arial" w:cs="Arial"/>
          <w:b/>
          <w:bCs/>
          <w:color w:val="000000"/>
          <w:lang w:eastAsia="en-GB"/>
        </w:rPr>
      </w:pPr>
      <w:r w:rsidRPr="00E644F9">
        <w:rPr>
          <w:rFonts w:ascii="Arial" w:hAnsi="Arial" w:cs="Arial"/>
        </w:rPr>
        <w:t xml:space="preserve">These are included as a mission in the Council’s Recovery and Renewal Strategy Greener, Fairer Stronger which sets out the Council’s initial response to the pandemic. The city of villages is based on the existing network of successful local and district centres by making them more vibrant, busy and relevant to local communities. </w:t>
      </w:r>
    </w:p>
    <w:p w14:paraId="5060591B" w14:textId="77777777" w:rsidR="000155F2" w:rsidRDefault="00885E73" w:rsidP="000155F2">
      <w:pPr>
        <w:pStyle w:val="Heading2"/>
        <w:rPr>
          <w:rFonts w:eastAsia="Times New Roman"/>
          <w:lang w:eastAsia="en-GB"/>
        </w:rPr>
      </w:pPr>
      <w:r w:rsidRPr="00E644F9">
        <w:rPr>
          <w:rFonts w:eastAsia="Times New Roman"/>
          <w:lang w:eastAsia="en-GB"/>
        </w:rPr>
        <w:t>Commitments</w:t>
      </w:r>
    </w:p>
    <w:p w14:paraId="3F53069C" w14:textId="32A3C8EF" w:rsidR="00712D91" w:rsidRPr="00E644F9" w:rsidRDefault="00712D91" w:rsidP="00E644F9">
      <w:pPr>
        <w:rPr>
          <w:rFonts w:ascii="Arial" w:eastAsia="Times New Roman" w:hAnsi="Arial" w:cs="Arial"/>
          <w:b/>
          <w:bCs/>
          <w:color w:val="000000"/>
          <w:lang w:eastAsia="en-GB"/>
        </w:rPr>
      </w:pPr>
      <w:r w:rsidRPr="00E644F9">
        <w:rPr>
          <w:rFonts w:ascii="Arial" w:eastAsia="Times New Roman" w:hAnsi="Arial" w:cs="Arial"/>
          <w:color w:val="000000"/>
          <w:lang w:eastAsia="en-GB"/>
        </w:rPr>
        <w:t>Undeveloped land with current planning permission or land which is currently being developed.</w:t>
      </w:r>
    </w:p>
    <w:p w14:paraId="5E649A5B" w14:textId="77777777" w:rsidR="000155F2" w:rsidRDefault="00F04911" w:rsidP="000155F2">
      <w:pPr>
        <w:pStyle w:val="Heading2"/>
        <w:rPr>
          <w:rFonts w:eastAsia="Times New Roman"/>
          <w:lang w:eastAsia="en-GB"/>
        </w:rPr>
      </w:pPr>
      <w:r w:rsidRPr="00E644F9">
        <w:rPr>
          <w:rFonts w:eastAsia="Times New Roman"/>
          <w:lang w:eastAsia="en-GB"/>
        </w:rPr>
        <w:t>Community</w:t>
      </w:r>
    </w:p>
    <w:p w14:paraId="28857F28" w14:textId="18FA88F3" w:rsidR="00F04911" w:rsidRPr="00E644F9" w:rsidRDefault="00F04911">
      <w:pPr>
        <w:rPr>
          <w:rFonts w:ascii="Arial" w:eastAsia="Times New Roman" w:hAnsi="Arial" w:cs="Arial"/>
          <w:color w:val="000000"/>
          <w:lang w:eastAsia="en-GB"/>
        </w:rPr>
      </w:pPr>
      <w:r w:rsidRPr="00E644F9">
        <w:rPr>
          <w:rFonts w:ascii="Arial" w:eastAsia="Times New Roman" w:hAnsi="Arial" w:cs="Arial"/>
          <w:color w:val="000000"/>
          <w:lang w:eastAsia="en-GB"/>
        </w:rPr>
        <w:t>People living in a defined geographical area, or who share other common interests.</w:t>
      </w:r>
    </w:p>
    <w:p w14:paraId="0BAFC822" w14:textId="77777777" w:rsidR="000155F2" w:rsidRDefault="006E505D" w:rsidP="000155F2">
      <w:pPr>
        <w:pStyle w:val="Heading2"/>
        <w:rPr>
          <w:rFonts w:eastAsia="Times New Roman"/>
          <w:lang w:eastAsia="en-GB"/>
        </w:rPr>
      </w:pPr>
      <w:r w:rsidRPr="00E644F9">
        <w:rPr>
          <w:rFonts w:eastAsia="Times New Roman"/>
          <w:lang w:eastAsia="en-GB"/>
        </w:rPr>
        <w:t>Delivery Agreement</w:t>
      </w:r>
    </w:p>
    <w:p w14:paraId="21D84317" w14:textId="2F23CE58" w:rsidR="006E505D" w:rsidRPr="00E644F9" w:rsidRDefault="006E505D">
      <w:pPr>
        <w:rPr>
          <w:rFonts w:ascii="Arial" w:eastAsia="Times New Roman" w:hAnsi="Arial" w:cs="Arial"/>
          <w:b/>
          <w:bCs/>
          <w:color w:val="000000"/>
          <w:lang w:eastAsia="en-GB"/>
        </w:rPr>
      </w:pPr>
      <w:r w:rsidRPr="00E644F9">
        <w:rPr>
          <w:rFonts w:ascii="Arial" w:eastAsia="Times New Roman" w:hAnsi="Arial" w:cs="Arial"/>
          <w:color w:val="000000"/>
          <w:lang w:eastAsia="en-GB"/>
        </w:rPr>
        <w:t>A document comprising the LPA’s timetable for the preparation of the LDP together with its Community Involvement Scheme, submitted to the Welsh Government for agreement.</w:t>
      </w:r>
    </w:p>
    <w:p w14:paraId="10E052A6" w14:textId="77777777" w:rsidR="000155F2" w:rsidRDefault="0042016E" w:rsidP="000155F2">
      <w:pPr>
        <w:pStyle w:val="Heading2"/>
        <w:rPr>
          <w:rFonts w:eastAsia="Times New Roman"/>
          <w:lang w:eastAsia="en-GB"/>
        </w:rPr>
      </w:pPr>
      <w:r w:rsidRPr="00E644F9">
        <w:rPr>
          <w:rFonts w:eastAsia="Times New Roman"/>
          <w:lang w:eastAsia="en-GB"/>
        </w:rPr>
        <w:t>Density</w:t>
      </w:r>
    </w:p>
    <w:p w14:paraId="43FC9AD7" w14:textId="42AD63F4" w:rsidR="0042016E" w:rsidRPr="00E644F9" w:rsidRDefault="0042016E">
      <w:pPr>
        <w:rPr>
          <w:rFonts w:ascii="Arial" w:eastAsia="Times New Roman" w:hAnsi="Arial" w:cs="Arial"/>
          <w:b/>
          <w:bCs/>
          <w:color w:val="000000"/>
          <w:lang w:eastAsia="en-GB"/>
        </w:rPr>
      </w:pPr>
      <w:r w:rsidRPr="00E644F9">
        <w:rPr>
          <w:rFonts w:ascii="Arial" w:hAnsi="Arial" w:cs="Arial"/>
          <w:color w:val="000000"/>
        </w:rPr>
        <w:t>In the case of residential development, a measurement of either the number of habitable rooms per hectare or the number of dwellings per hectare.</w:t>
      </w:r>
    </w:p>
    <w:p w14:paraId="061232DC" w14:textId="77777777" w:rsidR="000155F2" w:rsidRDefault="00CA7674" w:rsidP="000155F2">
      <w:pPr>
        <w:pStyle w:val="Heading2"/>
        <w:rPr>
          <w:rFonts w:eastAsia="Times New Roman"/>
          <w:lang w:eastAsia="en-GB"/>
        </w:rPr>
      </w:pPr>
      <w:r w:rsidRPr="00E644F9">
        <w:rPr>
          <w:rFonts w:eastAsia="Times New Roman"/>
          <w:lang w:eastAsia="en-GB"/>
        </w:rPr>
        <w:t>Deposit Plan</w:t>
      </w:r>
    </w:p>
    <w:p w14:paraId="43159401" w14:textId="1547FF1A" w:rsidR="00CA7674" w:rsidRPr="00E644F9" w:rsidRDefault="00CA7674" w:rsidP="00CA7674">
      <w:pPr>
        <w:rPr>
          <w:rFonts w:ascii="Arial" w:eastAsia="Times New Roman" w:hAnsi="Arial" w:cs="Arial"/>
          <w:color w:val="000000"/>
          <w:lang w:eastAsia="en-GB"/>
        </w:rPr>
      </w:pPr>
      <w:r w:rsidRPr="00E644F9">
        <w:rPr>
          <w:rFonts w:ascii="Arial" w:hAnsi="Arial" w:cs="Arial"/>
        </w:rPr>
        <w:t>The version of the LDP which is submitted to the Welsh Assembly Government for public examination.</w:t>
      </w:r>
    </w:p>
    <w:p w14:paraId="17CADEAE" w14:textId="77777777" w:rsidR="000155F2" w:rsidRDefault="006E505D" w:rsidP="000155F2">
      <w:pPr>
        <w:pStyle w:val="Heading2"/>
        <w:rPr>
          <w:rFonts w:eastAsia="Times New Roman"/>
          <w:lang w:eastAsia="en-GB"/>
        </w:rPr>
      </w:pPr>
      <w:r w:rsidRPr="00E644F9">
        <w:rPr>
          <w:rFonts w:eastAsia="Times New Roman"/>
          <w:lang w:eastAsia="en-GB"/>
        </w:rPr>
        <w:t>Development</w:t>
      </w:r>
    </w:p>
    <w:p w14:paraId="52B59C1E" w14:textId="422EC867" w:rsidR="006E505D" w:rsidRPr="00E644F9" w:rsidRDefault="006E505D">
      <w:pPr>
        <w:rPr>
          <w:rFonts w:ascii="Arial" w:eastAsia="Times New Roman" w:hAnsi="Arial" w:cs="Arial"/>
          <w:b/>
          <w:bCs/>
          <w:color w:val="000000"/>
          <w:lang w:eastAsia="en-GB"/>
        </w:rPr>
      </w:pPr>
      <w:r w:rsidRPr="00E644F9">
        <w:rPr>
          <w:rFonts w:ascii="Arial" w:eastAsia="Times New Roman" w:hAnsi="Arial" w:cs="Arial"/>
          <w:color w:val="000000" w:themeColor="text1"/>
          <w:lang w:eastAsia="en-GB"/>
        </w:rPr>
        <w:t>Development is defined in </w:t>
      </w:r>
      <w:hyperlink r:id="rId4" w:anchor="pt3-pb1-l1g55" w:tgtFrame="_blank" w:history="1">
        <w:r w:rsidRPr="00E644F9">
          <w:rPr>
            <w:rFonts w:ascii="Arial" w:eastAsia="Times New Roman" w:hAnsi="Arial" w:cs="Arial"/>
            <w:i/>
            <w:iCs/>
            <w:color w:val="000000" w:themeColor="text1"/>
            <w:lang w:eastAsia="en-GB"/>
          </w:rPr>
          <w:t>Section 55 of the 1990 Town and Country Planning Act</w:t>
        </w:r>
      </w:hyperlink>
      <w:r w:rsidRPr="00E644F9">
        <w:rPr>
          <w:rFonts w:ascii="Arial" w:eastAsia="Times New Roman" w:hAnsi="Arial" w:cs="Arial"/>
          <w:color w:val="000000"/>
          <w:lang w:eastAsia="en-GB"/>
        </w:rPr>
        <w:t xml:space="preserve"> as "the carrying out of building, engineering, mining or other operation in, on, over or under land, or the making of any material change in the use of any building or other land." Certain activities </w:t>
      </w:r>
      <w:r w:rsidRPr="00E644F9">
        <w:rPr>
          <w:rFonts w:ascii="Arial" w:eastAsia="Times New Roman" w:hAnsi="Arial" w:cs="Arial"/>
          <w:color w:val="000000"/>
          <w:lang w:eastAsia="en-GB"/>
        </w:rPr>
        <w:lastRenderedPageBreak/>
        <w:t>may be of such a limited significance that the relevant local planning authority determines that they don't constitute development (i.e. are </w:t>
      </w:r>
      <w:r w:rsidRPr="00E644F9">
        <w:rPr>
          <w:rFonts w:ascii="Arial" w:eastAsia="Times New Roman" w:hAnsi="Arial" w:cs="Arial"/>
          <w:i/>
          <w:iCs/>
          <w:color w:val="000000"/>
          <w:lang w:eastAsia="en-GB"/>
        </w:rPr>
        <w:t>de minimis).</w:t>
      </w:r>
    </w:p>
    <w:p w14:paraId="4593B731" w14:textId="77777777" w:rsidR="00E644F9" w:rsidRPr="001B2EF2" w:rsidRDefault="00E644F9" w:rsidP="001B2EF2">
      <w:pPr>
        <w:pStyle w:val="Heading2"/>
        <w:rPr>
          <w:rStyle w:val="normaltextrun"/>
        </w:rPr>
      </w:pPr>
      <w:r w:rsidRPr="001B2EF2">
        <w:rPr>
          <w:rStyle w:val="normaltextrun"/>
        </w:rPr>
        <w:t>District Centres</w:t>
      </w:r>
    </w:p>
    <w:p w14:paraId="3AF85F87" w14:textId="5147A511" w:rsidR="00E644F9" w:rsidRPr="00E644F9" w:rsidRDefault="00E644F9" w:rsidP="001B2EF2">
      <w:pPr>
        <w:pStyle w:val="paragraph"/>
        <w:spacing w:before="0" w:beforeAutospacing="0" w:after="240" w:afterAutospacing="0"/>
        <w:textAlignment w:val="baseline"/>
        <w:rPr>
          <w:rFonts w:ascii="Arial" w:hAnsi="Arial" w:cs="Arial"/>
          <w:sz w:val="22"/>
          <w:szCs w:val="22"/>
        </w:rPr>
      </w:pPr>
      <w:r w:rsidRPr="00E644F9">
        <w:rPr>
          <w:rStyle w:val="normaltextrun"/>
          <w:rFonts w:ascii="Arial" w:hAnsi="Arial" w:cs="Arial"/>
          <w:color w:val="201F1E"/>
          <w:sz w:val="22"/>
          <w:szCs w:val="22"/>
        </w:rPr>
        <w:t>Groups of shops, separate from the town centre, usually containing at least one food supermarket and non-retail services, such as banks, building societies and restaurants.</w:t>
      </w:r>
    </w:p>
    <w:p w14:paraId="5788CC09" w14:textId="41C8D95D" w:rsidR="000155F2" w:rsidRDefault="005914FA" w:rsidP="000155F2">
      <w:pPr>
        <w:pStyle w:val="Heading2"/>
        <w:rPr>
          <w:rFonts w:eastAsia="Times New Roman"/>
          <w:lang w:eastAsia="en-GB"/>
        </w:rPr>
      </w:pPr>
      <w:r w:rsidRPr="00E644F9">
        <w:rPr>
          <w:rFonts w:eastAsia="Times New Roman"/>
          <w:lang w:eastAsia="en-GB"/>
        </w:rPr>
        <w:t>Examination</w:t>
      </w:r>
    </w:p>
    <w:p w14:paraId="439961BC" w14:textId="51C3971B" w:rsidR="005914FA" w:rsidRPr="00E644F9" w:rsidRDefault="005914FA">
      <w:pPr>
        <w:rPr>
          <w:rFonts w:ascii="Arial" w:eastAsia="Times New Roman" w:hAnsi="Arial" w:cs="Arial"/>
          <w:b/>
          <w:bCs/>
          <w:color w:val="000000"/>
          <w:lang w:eastAsia="en-GB"/>
        </w:rPr>
      </w:pPr>
      <w:r w:rsidRPr="00E644F9">
        <w:rPr>
          <w:rFonts w:ascii="Arial" w:hAnsi="Arial" w:cs="Arial"/>
        </w:rPr>
        <w:t>A process by which the soundness of the LDP is tested in public.</w:t>
      </w:r>
    </w:p>
    <w:p w14:paraId="687C4DA9" w14:textId="77777777" w:rsidR="000155F2" w:rsidRDefault="009A580C" w:rsidP="000155F2">
      <w:pPr>
        <w:pStyle w:val="Heading2"/>
        <w:rPr>
          <w:rFonts w:eastAsia="Times New Roman"/>
          <w:lang w:eastAsia="en-GB"/>
        </w:rPr>
      </w:pPr>
      <w:r w:rsidRPr="00E644F9">
        <w:rPr>
          <w:rFonts w:eastAsia="Times New Roman"/>
          <w:lang w:eastAsia="en-GB"/>
        </w:rPr>
        <w:t>Future Wales</w:t>
      </w:r>
    </w:p>
    <w:p w14:paraId="0FC79CBE" w14:textId="7A173C96" w:rsidR="003F6E43" w:rsidRPr="00E644F9" w:rsidRDefault="003F6E43">
      <w:pPr>
        <w:rPr>
          <w:rFonts w:ascii="Arial" w:eastAsia="Times New Roman" w:hAnsi="Arial" w:cs="Arial"/>
          <w:b/>
          <w:bCs/>
          <w:color w:val="000000"/>
          <w:lang w:eastAsia="en-GB"/>
        </w:rPr>
      </w:pPr>
      <w:r w:rsidRPr="00E644F9">
        <w:rPr>
          <w:rFonts w:ascii="Arial" w:hAnsi="Arial" w:cs="Arial"/>
        </w:rPr>
        <w:t>Future Wales – the National Plan 2040 is the Welsh Government’s national development framework, setting the direction for development in Wales to 2040. It is a development plan with a strategy for addressing key national priorities through the planning system, including sustaining and developing a vibrant economy, achieving decarbonisation and climate-resilience, developing strong ecosystems and improving the health and well-being of our communities.</w:t>
      </w:r>
    </w:p>
    <w:p w14:paraId="65A4B9DB" w14:textId="77777777" w:rsidR="000155F2" w:rsidRDefault="00E644F9" w:rsidP="000155F2">
      <w:pPr>
        <w:pStyle w:val="Heading2"/>
        <w:rPr>
          <w:rStyle w:val="normaltextrun"/>
          <w:rFonts w:cs="Arial"/>
          <w:b w:val="0"/>
          <w:bCs/>
          <w:sz w:val="22"/>
          <w:szCs w:val="22"/>
        </w:rPr>
      </w:pPr>
      <w:r w:rsidRPr="000155F2">
        <w:rPr>
          <w:rStyle w:val="normaltextrun"/>
        </w:rPr>
        <w:t>Greenfield</w:t>
      </w:r>
      <w:r w:rsidRPr="00E644F9">
        <w:rPr>
          <w:rStyle w:val="normaltextrun"/>
          <w:rFonts w:cs="Arial"/>
          <w:bCs/>
          <w:sz w:val="22"/>
          <w:szCs w:val="22"/>
        </w:rPr>
        <w:t xml:space="preserve"> Land or Site</w:t>
      </w:r>
    </w:p>
    <w:p w14:paraId="74D0E9C3" w14:textId="2EC49989" w:rsidR="000155F2" w:rsidRDefault="00E644F9" w:rsidP="001B2EF2">
      <w:pPr>
        <w:pStyle w:val="paragraph"/>
        <w:spacing w:before="0" w:beforeAutospacing="0" w:after="240" w:afterAutospacing="0"/>
        <w:textAlignment w:val="baseline"/>
      </w:pPr>
      <w:r w:rsidRPr="00E644F9">
        <w:rPr>
          <w:rStyle w:val="normaltextrun"/>
          <w:rFonts w:ascii="Arial" w:hAnsi="Arial" w:cs="Arial"/>
          <w:sz w:val="22"/>
          <w:szCs w:val="22"/>
        </w:rPr>
        <w:t>Land (or a defined site) usually farmland, that has not previously been developed.</w:t>
      </w:r>
    </w:p>
    <w:p w14:paraId="674F0252" w14:textId="0A8A4049" w:rsidR="000155F2" w:rsidRDefault="00E87661" w:rsidP="000155F2">
      <w:pPr>
        <w:pStyle w:val="Heading2"/>
        <w:rPr>
          <w:rFonts w:eastAsia="Times New Roman"/>
          <w:lang w:eastAsia="en-GB"/>
        </w:rPr>
      </w:pPr>
      <w:r w:rsidRPr="00E644F9">
        <w:rPr>
          <w:rFonts w:eastAsia="Times New Roman"/>
          <w:lang w:eastAsia="en-GB"/>
        </w:rPr>
        <w:t>Green Infrastructure</w:t>
      </w:r>
    </w:p>
    <w:p w14:paraId="00D21F6A" w14:textId="77777777" w:rsidR="000155F2" w:rsidRPr="001B2EF2" w:rsidRDefault="00E87661" w:rsidP="000155F2">
      <w:pPr>
        <w:rPr>
          <w:rFonts w:ascii="Arial" w:hAnsi="Arial" w:cs="Arial"/>
        </w:rPr>
      </w:pPr>
      <w:r w:rsidRPr="001B2EF2">
        <w:rPr>
          <w:rFonts w:ascii="Arial" w:hAnsi="Arial" w:cs="Arial"/>
        </w:rPr>
        <w:t xml:space="preserve">A network of multi-functional green space, urban and rural, which </w:t>
      </w:r>
      <w:proofErr w:type="gramStart"/>
      <w:r w:rsidRPr="001B2EF2">
        <w:rPr>
          <w:rFonts w:ascii="Arial" w:hAnsi="Arial" w:cs="Arial"/>
        </w:rPr>
        <w:t>is capable of delivering</w:t>
      </w:r>
      <w:proofErr w:type="gramEnd"/>
      <w:r w:rsidRPr="001B2EF2">
        <w:rPr>
          <w:rFonts w:ascii="Arial" w:hAnsi="Arial" w:cs="Arial"/>
        </w:rPr>
        <w:t xml:space="preserve"> a wide range of environmental and quality of life benefits for local communities.</w:t>
      </w:r>
    </w:p>
    <w:p w14:paraId="72E3EE5F" w14:textId="6A8EBC13" w:rsidR="000155F2" w:rsidRDefault="00CA7674" w:rsidP="000155F2">
      <w:pPr>
        <w:pStyle w:val="Heading2"/>
        <w:rPr>
          <w:rFonts w:eastAsia="Times New Roman"/>
          <w:bCs/>
          <w:color w:val="000000" w:themeColor="text1"/>
          <w:lang w:eastAsia="en-GB"/>
        </w:rPr>
      </w:pPr>
      <w:r w:rsidRPr="00E644F9">
        <w:rPr>
          <w:rFonts w:eastAsia="Times New Roman"/>
          <w:bCs/>
          <w:color w:val="000000" w:themeColor="text1"/>
          <w:lang w:eastAsia="en-GB"/>
        </w:rPr>
        <w:t>Infrastructure</w:t>
      </w:r>
    </w:p>
    <w:p w14:paraId="4152C49D" w14:textId="215C743C" w:rsidR="00CA7674" w:rsidRPr="001B2EF2" w:rsidRDefault="00CA7674" w:rsidP="000155F2">
      <w:pPr>
        <w:rPr>
          <w:rFonts w:ascii="Arial" w:eastAsia="Times New Roman" w:hAnsi="Arial" w:cs="Arial"/>
          <w:b/>
          <w:bCs/>
          <w:color w:val="000000" w:themeColor="text1"/>
          <w:lang w:eastAsia="en-GB"/>
        </w:rPr>
      </w:pPr>
      <w:r w:rsidRPr="001B2EF2">
        <w:rPr>
          <w:rFonts w:ascii="Arial" w:hAnsi="Arial" w:cs="Arial"/>
        </w:rPr>
        <w:t xml:space="preserve">Basic services necessary for development to take place, for example, roads, electricity, sewerage, water, </w:t>
      </w:r>
      <w:proofErr w:type="gramStart"/>
      <w:r w:rsidRPr="001B2EF2">
        <w:rPr>
          <w:rFonts w:ascii="Arial" w:hAnsi="Arial" w:cs="Arial"/>
        </w:rPr>
        <w:t>education</w:t>
      </w:r>
      <w:proofErr w:type="gramEnd"/>
      <w:r w:rsidRPr="001B2EF2">
        <w:rPr>
          <w:rFonts w:ascii="Arial" w:hAnsi="Arial" w:cs="Arial"/>
        </w:rPr>
        <w:t xml:space="preserve"> and health facilities.</w:t>
      </w:r>
    </w:p>
    <w:p w14:paraId="16C27DDA" w14:textId="03449B9D" w:rsidR="00CA7674" w:rsidRPr="00B202CE" w:rsidRDefault="00CA7674" w:rsidP="00B202CE">
      <w:pPr>
        <w:pStyle w:val="Heading2"/>
      </w:pPr>
      <w:r w:rsidRPr="00B202CE">
        <w:rPr>
          <w:rStyle w:val="normaltextrun"/>
        </w:rPr>
        <w:t>Issues, Options and Preferred Options</w:t>
      </w:r>
    </w:p>
    <w:p w14:paraId="34F88667" w14:textId="3856BB32" w:rsidR="003719C2" w:rsidRDefault="00CA7674" w:rsidP="00B202CE">
      <w:pPr>
        <w:pStyle w:val="paragraph"/>
        <w:spacing w:before="0" w:beforeAutospacing="0" w:after="240" w:afterAutospacing="0"/>
        <w:textAlignment w:val="baseline"/>
        <w:rPr>
          <w:rFonts w:ascii="Arial" w:hAnsi="Arial" w:cs="Arial"/>
          <w:b/>
          <w:bCs/>
          <w:color w:val="000000" w:themeColor="text1"/>
        </w:rPr>
      </w:pPr>
      <w:r w:rsidRPr="00E644F9">
        <w:rPr>
          <w:rStyle w:val="normaltextrun"/>
          <w:rFonts w:ascii="Arial" w:hAnsi="Arial" w:cs="Arial"/>
          <w:sz w:val="22"/>
          <w:szCs w:val="22"/>
        </w:rPr>
        <w:t>The "pre</w:t>
      </w:r>
      <w:r w:rsidRPr="00E644F9">
        <w:rPr>
          <w:rStyle w:val="normaltextrun"/>
          <w:rFonts w:ascii="Cambria Math" w:hAnsi="Cambria Math" w:cs="Cambria Math"/>
          <w:sz w:val="22"/>
          <w:szCs w:val="22"/>
        </w:rPr>
        <w:t>‐</w:t>
      </w:r>
      <w:r w:rsidRPr="00E644F9">
        <w:rPr>
          <w:rStyle w:val="normaltextrun"/>
          <w:rFonts w:ascii="Arial" w:hAnsi="Arial" w:cs="Arial"/>
          <w:sz w:val="22"/>
          <w:szCs w:val="22"/>
        </w:rPr>
        <w:t>submission" consultation stages on Development Plan Documents with the objective of gaining public consensus over proposals ahead of submission to Welsh Government for independent examination</w:t>
      </w:r>
    </w:p>
    <w:p w14:paraId="2EE9D4CF" w14:textId="77777777" w:rsidR="000155F2" w:rsidRDefault="00CA7674" w:rsidP="000155F2">
      <w:pPr>
        <w:pStyle w:val="Heading2"/>
        <w:rPr>
          <w:lang w:eastAsia="en-GB"/>
        </w:rPr>
      </w:pPr>
      <w:r w:rsidRPr="00E644F9">
        <w:rPr>
          <w:rFonts w:eastAsia="Times New Roman"/>
          <w:lang w:eastAsia="en-GB"/>
        </w:rPr>
        <w:t>Integrated Sustainability Appraisal (ISA)</w:t>
      </w:r>
    </w:p>
    <w:p w14:paraId="7DD0ECFE" w14:textId="7C99AF5F" w:rsidR="00CA7674" w:rsidRPr="00B202CE" w:rsidRDefault="00CA7674" w:rsidP="000155F2">
      <w:pPr>
        <w:rPr>
          <w:rFonts w:ascii="Arial" w:hAnsi="Arial" w:cs="Arial"/>
          <w:lang w:eastAsia="en-GB"/>
        </w:rPr>
      </w:pPr>
      <w:r w:rsidRPr="00B202CE">
        <w:rPr>
          <w:rFonts w:ascii="Arial" w:hAnsi="Arial" w:cs="Arial"/>
          <w:lang w:eastAsia="en-GB"/>
        </w:rPr>
        <w:t>Tool for appraising policies and proposals to ensure they reflect sustainable development objectives (</w:t>
      </w:r>
      <w:proofErr w:type="gramStart"/>
      <w:r w:rsidRPr="00B202CE">
        <w:rPr>
          <w:rFonts w:ascii="Arial" w:hAnsi="Arial" w:cs="Arial"/>
          <w:lang w:eastAsia="en-GB"/>
        </w:rPr>
        <w:t>i.e.</w:t>
      </w:r>
      <w:proofErr w:type="gramEnd"/>
      <w:r w:rsidRPr="00B202CE">
        <w:rPr>
          <w:rFonts w:ascii="Arial" w:hAnsi="Arial" w:cs="Arial"/>
          <w:lang w:eastAsia="en-GB"/>
        </w:rPr>
        <w:t xml:space="preserve"> social, environmental and economic factors). Each LPA is required by S62(6) of the Act to undertake SA of the LDP. The integrated SA fully incorporates the requirements of the SEA Directive and will also include an assessment of health and equalities impacts. </w:t>
      </w:r>
    </w:p>
    <w:p w14:paraId="0165F9DB" w14:textId="77777777" w:rsidR="000155F2" w:rsidRDefault="00E644F9" w:rsidP="000155F2">
      <w:pPr>
        <w:pStyle w:val="Heading2"/>
        <w:rPr>
          <w:rStyle w:val="normaltextrun"/>
          <w:rFonts w:cs="Arial"/>
          <w:b w:val="0"/>
          <w:bCs/>
        </w:rPr>
      </w:pPr>
      <w:r w:rsidRPr="00E644F9">
        <w:rPr>
          <w:rStyle w:val="normaltextrun"/>
          <w:rFonts w:cs="Arial"/>
          <w:bCs/>
        </w:rPr>
        <w:t>Land Bank</w:t>
      </w:r>
    </w:p>
    <w:p w14:paraId="6CEBAF34" w14:textId="2102BEFF" w:rsidR="00E644F9" w:rsidRPr="00E644F9" w:rsidRDefault="00E644F9" w:rsidP="00CA7674">
      <w:pPr>
        <w:rPr>
          <w:rFonts w:ascii="Arial" w:hAnsi="Arial" w:cs="Arial"/>
        </w:rPr>
      </w:pPr>
      <w:r w:rsidRPr="00E644F9">
        <w:rPr>
          <w:rStyle w:val="normaltextrun"/>
          <w:rFonts w:ascii="Arial" w:hAnsi="Arial" w:cs="Arial"/>
        </w:rPr>
        <w:t>Refers to homes on sites which have planning permission. It also includes homes on sites which have been to planning committee where Council resolved to grant planning permission subject to signing of a legal agreement. Existing allocations are not included in the landbank.</w:t>
      </w:r>
      <w:r w:rsidRPr="00E644F9">
        <w:rPr>
          <w:rStyle w:val="eop"/>
          <w:rFonts w:ascii="Arial" w:hAnsi="Arial" w:cs="Arial"/>
        </w:rPr>
        <w:t> </w:t>
      </w:r>
    </w:p>
    <w:p w14:paraId="108C0DE6" w14:textId="77777777" w:rsidR="000155F2" w:rsidRDefault="001C15CA" w:rsidP="000155F2">
      <w:pPr>
        <w:pStyle w:val="Heading2"/>
        <w:rPr>
          <w:rFonts w:eastAsia="Times New Roman"/>
          <w:lang w:eastAsia="en-GB"/>
        </w:rPr>
      </w:pPr>
      <w:r w:rsidRPr="00E644F9">
        <w:rPr>
          <w:rFonts w:eastAsia="Times New Roman"/>
          <w:lang w:eastAsia="en-GB"/>
        </w:rPr>
        <w:t>Legal Agreement</w:t>
      </w:r>
    </w:p>
    <w:p w14:paraId="701FCFB6" w14:textId="6584BE89" w:rsidR="000155F2" w:rsidRDefault="001C15CA" w:rsidP="00B202CE">
      <w:pPr>
        <w:spacing w:line="240" w:lineRule="auto"/>
        <w:rPr>
          <w:rStyle w:val="normaltextrun"/>
          <w:rFonts w:ascii="Arial" w:hAnsi="Arial" w:cs="Arial"/>
          <w:b/>
          <w:bCs/>
          <w:color w:val="201F1E"/>
        </w:rPr>
      </w:pPr>
      <w:r w:rsidRPr="00E644F9">
        <w:rPr>
          <w:rFonts w:ascii="Arial" w:eastAsia="Times New Roman" w:hAnsi="Arial" w:cs="Arial"/>
          <w:color w:val="000000"/>
          <w:lang w:eastAsia="en-GB"/>
        </w:rPr>
        <w:t>A legal agreement between an applicant and the local planning authority to ensure a development is carried out in a certain way. Also referred to as a Section 106 Agreement or Planning Obligation.</w:t>
      </w:r>
    </w:p>
    <w:p w14:paraId="430DFA12" w14:textId="3A0F1831" w:rsidR="000155F2" w:rsidRDefault="00E644F9" w:rsidP="000155F2">
      <w:pPr>
        <w:pStyle w:val="Heading2"/>
        <w:rPr>
          <w:rStyle w:val="normaltextrun"/>
          <w:rFonts w:cs="Arial"/>
          <w:b w:val="0"/>
          <w:bCs/>
          <w:color w:val="201F1E"/>
        </w:rPr>
      </w:pPr>
      <w:r w:rsidRPr="00E644F9">
        <w:rPr>
          <w:rStyle w:val="normaltextrun"/>
          <w:rFonts w:cs="Arial"/>
          <w:bCs/>
          <w:color w:val="201F1E"/>
        </w:rPr>
        <w:t>Local Centres</w:t>
      </w:r>
    </w:p>
    <w:p w14:paraId="727FF3EA" w14:textId="495EEB57" w:rsidR="000155F2" w:rsidRPr="00E644F9" w:rsidRDefault="00E644F9" w:rsidP="00B202CE">
      <w:pPr>
        <w:spacing w:line="240" w:lineRule="auto"/>
        <w:rPr>
          <w:rFonts w:ascii="Arial" w:hAnsi="Arial" w:cs="Arial"/>
        </w:rPr>
      </w:pPr>
      <w:r w:rsidRPr="00E644F9">
        <w:rPr>
          <w:rStyle w:val="normaltextrun"/>
          <w:rFonts w:ascii="Arial" w:hAnsi="Arial" w:cs="Arial"/>
          <w:color w:val="201F1E"/>
        </w:rPr>
        <w:t xml:space="preserve">Small grouping, usually comprising a newsagent, general grocery store, </w:t>
      </w:r>
      <w:r w:rsidR="00A15764" w:rsidRPr="00E644F9">
        <w:rPr>
          <w:rStyle w:val="normaltextrun"/>
          <w:rFonts w:ascii="Arial" w:hAnsi="Arial" w:cs="Arial"/>
          <w:color w:val="201F1E"/>
        </w:rPr>
        <w:t>sub–Post</w:t>
      </w:r>
      <w:r w:rsidRPr="00E644F9">
        <w:rPr>
          <w:rStyle w:val="normaltextrun"/>
          <w:rFonts w:ascii="Arial" w:hAnsi="Arial" w:cs="Arial"/>
          <w:color w:val="201F1E"/>
        </w:rPr>
        <w:t xml:space="preserve"> Office and occasionally a pharmacy, </w:t>
      </w:r>
      <w:proofErr w:type="gramStart"/>
      <w:r w:rsidRPr="00E644F9">
        <w:rPr>
          <w:rStyle w:val="normaltextrun"/>
          <w:rFonts w:ascii="Arial" w:hAnsi="Arial" w:cs="Arial"/>
          <w:color w:val="201F1E"/>
        </w:rPr>
        <w:t>hairdresser</w:t>
      </w:r>
      <w:proofErr w:type="gramEnd"/>
      <w:r w:rsidRPr="00E644F9">
        <w:rPr>
          <w:rStyle w:val="normaltextrun"/>
          <w:rFonts w:ascii="Arial" w:hAnsi="Arial" w:cs="Arial"/>
          <w:color w:val="201F1E"/>
        </w:rPr>
        <w:t xml:space="preserve"> and other small shops of a local nature.</w:t>
      </w:r>
    </w:p>
    <w:p w14:paraId="08783C78" w14:textId="77777777" w:rsidR="000155F2" w:rsidRDefault="00E205D1" w:rsidP="000155F2">
      <w:pPr>
        <w:pStyle w:val="Heading2"/>
        <w:rPr>
          <w:rFonts w:eastAsia="Times New Roman"/>
          <w:lang w:eastAsia="en-GB"/>
        </w:rPr>
      </w:pPr>
      <w:r w:rsidRPr="00E644F9">
        <w:rPr>
          <w:rFonts w:eastAsia="Times New Roman"/>
          <w:lang w:eastAsia="en-GB"/>
        </w:rPr>
        <w:t>Local Development Plan (LDP)</w:t>
      </w:r>
    </w:p>
    <w:p w14:paraId="307B6EF7" w14:textId="44EE63D2" w:rsidR="00E205D1" w:rsidRPr="00E644F9" w:rsidRDefault="00E205D1">
      <w:pPr>
        <w:rPr>
          <w:rFonts w:ascii="Arial" w:eastAsia="Times New Roman" w:hAnsi="Arial" w:cs="Arial"/>
          <w:color w:val="000000"/>
          <w:lang w:eastAsia="en-GB"/>
        </w:rPr>
      </w:pPr>
      <w:r w:rsidRPr="00E644F9">
        <w:rPr>
          <w:rFonts w:ascii="Arial" w:eastAsia="Times New Roman" w:hAnsi="Arial" w:cs="Arial"/>
          <w:color w:val="000000"/>
          <w:lang w:eastAsia="en-GB"/>
        </w:rPr>
        <w:t>The required statutory development plan for each local planning authority area in Wales under Part 6 of the Planning and Compulsory Purchase Act 2004. A land use plan that is subject to independent examination, which will form the statutory development plan for a local authority area for the purposes of the Act. It should include a vision, strategy, area-wide policies for development types, land allocations, and where necessary policies and proposals for key areas of change and protection. Policies and allocations must be shown geographically on the Proposals Map forming part of the plan.</w:t>
      </w:r>
    </w:p>
    <w:p w14:paraId="5457B95E" w14:textId="77777777" w:rsidR="000155F2" w:rsidRDefault="009A580C" w:rsidP="000155F2">
      <w:pPr>
        <w:pStyle w:val="Heading2"/>
        <w:rPr>
          <w:rFonts w:eastAsia="Times New Roman"/>
          <w:lang w:eastAsia="en-GB"/>
        </w:rPr>
      </w:pPr>
      <w:r w:rsidRPr="00E644F9">
        <w:rPr>
          <w:rFonts w:eastAsia="Times New Roman"/>
          <w:lang w:eastAsia="en-GB"/>
        </w:rPr>
        <w:t>Local Planning Authority (LPA)</w:t>
      </w:r>
    </w:p>
    <w:p w14:paraId="3EBE8B8F" w14:textId="5C661C47" w:rsidR="009A580C" w:rsidRPr="00E644F9" w:rsidRDefault="009A580C">
      <w:pPr>
        <w:rPr>
          <w:rFonts w:ascii="Arial" w:eastAsia="Times New Roman" w:hAnsi="Arial" w:cs="Arial"/>
          <w:b/>
          <w:bCs/>
          <w:color w:val="000000" w:themeColor="text1"/>
          <w:lang w:eastAsia="en-GB"/>
        </w:rPr>
      </w:pPr>
      <w:r w:rsidRPr="00E644F9">
        <w:rPr>
          <w:rFonts w:ascii="Arial" w:eastAsia="Times New Roman" w:hAnsi="Arial" w:cs="Arial"/>
          <w:color w:val="000000"/>
          <w:lang w:eastAsia="en-GB"/>
        </w:rPr>
        <w:t xml:space="preserve">A planning authority responsible for the preparation of an </w:t>
      </w:r>
      <w:proofErr w:type="gramStart"/>
      <w:r w:rsidRPr="00E644F9">
        <w:rPr>
          <w:rFonts w:ascii="Arial" w:eastAsia="Times New Roman" w:hAnsi="Arial" w:cs="Arial"/>
          <w:color w:val="000000"/>
          <w:lang w:eastAsia="en-GB"/>
        </w:rPr>
        <w:t>LDP;</w:t>
      </w:r>
      <w:proofErr w:type="gramEnd"/>
      <w:r w:rsidRPr="00E644F9">
        <w:rPr>
          <w:rFonts w:ascii="Arial" w:eastAsia="Times New Roman" w:hAnsi="Arial" w:cs="Arial"/>
          <w:color w:val="000000"/>
          <w:lang w:eastAsia="en-GB"/>
        </w:rPr>
        <w:t xml:space="preserve"> i.e. County or Borough Council or National Park Authority.</w:t>
      </w:r>
    </w:p>
    <w:p w14:paraId="3163F12A" w14:textId="77777777" w:rsidR="001B2EF2" w:rsidRDefault="00CA7674" w:rsidP="001B2EF2">
      <w:pPr>
        <w:pStyle w:val="Heading2"/>
        <w:rPr>
          <w:rFonts w:eastAsia="Times New Roman"/>
          <w:lang w:eastAsia="en-GB"/>
        </w:rPr>
      </w:pPr>
      <w:r w:rsidRPr="00E644F9">
        <w:rPr>
          <w:rFonts w:eastAsia="Times New Roman"/>
          <w:lang w:eastAsia="en-GB"/>
        </w:rPr>
        <w:t xml:space="preserve">National </w:t>
      </w:r>
      <w:r>
        <w:rPr>
          <w:rFonts w:eastAsia="Times New Roman"/>
          <w:lang w:eastAsia="en-GB"/>
        </w:rPr>
        <w:t xml:space="preserve">or Strategic </w:t>
      </w:r>
      <w:r w:rsidRPr="00E644F9">
        <w:rPr>
          <w:rFonts w:eastAsia="Times New Roman"/>
          <w:lang w:eastAsia="en-GB"/>
        </w:rPr>
        <w:t>Growth Area</w:t>
      </w:r>
    </w:p>
    <w:p w14:paraId="5EF22293" w14:textId="103737CA" w:rsidR="00CA7674" w:rsidRPr="00E644F9" w:rsidRDefault="00CA7674" w:rsidP="00CA7674">
      <w:pPr>
        <w:rPr>
          <w:rFonts w:ascii="Arial" w:eastAsia="Times New Roman" w:hAnsi="Arial" w:cs="Arial"/>
          <w:b/>
          <w:bCs/>
          <w:color w:val="000000"/>
          <w:lang w:eastAsia="en-GB"/>
        </w:rPr>
      </w:pPr>
      <w:r w:rsidRPr="00E644F9">
        <w:rPr>
          <w:rFonts w:ascii="Arial" w:hAnsi="Arial" w:cs="Arial"/>
        </w:rPr>
        <w:t xml:space="preserve">These are areas identified by Welsh Government in Future Wales </w:t>
      </w:r>
      <w:proofErr w:type="gramStart"/>
      <w:r w:rsidRPr="00E644F9">
        <w:rPr>
          <w:rFonts w:ascii="Arial" w:hAnsi="Arial" w:cs="Arial"/>
        </w:rPr>
        <w:t>The</w:t>
      </w:r>
      <w:proofErr w:type="gramEnd"/>
      <w:r w:rsidRPr="00E644F9">
        <w:rPr>
          <w:rFonts w:ascii="Arial" w:hAnsi="Arial" w:cs="Arial"/>
        </w:rPr>
        <w:t xml:space="preserve"> National Plan 2040 for growth in employment and housing opportunities and investment in infrastructure.</w:t>
      </w:r>
    </w:p>
    <w:p w14:paraId="3B3D9799" w14:textId="77777777" w:rsidR="001B2EF2" w:rsidRDefault="005914FA" w:rsidP="001B2EF2">
      <w:pPr>
        <w:pStyle w:val="Heading2"/>
        <w:rPr>
          <w:rFonts w:eastAsia="Times New Roman"/>
          <w:lang w:eastAsia="en-GB"/>
        </w:rPr>
      </w:pPr>
      <w:r w:rsidRPr="00E644F9">
        <w:rPr>
          <w:rFonts w:eastAsia="Times New Roman"/>
          <w:lang w:eastAsia="en-GB"/>
        </w:rPr>
        <w:t>Natural Population Growth</w:t>
      </w:r>
    </w:p>
    <w:p w14:paraId="5A46A7BD" w14:textId="23958C8C" w:rsidR="005A1334" w:rsidRPr="00B202CE" w:rsidRDefault="005A1334">
      <w:pPr>
        <w:rPr>
          <w:rFonts w:ascii="Arial" w:eastAsia="Times New Roman" w:hAnsi="Arial" w:cs="Arial"/>
          <w:b/>
          <w:bCs/>
          <w:lang w:eastAsia="en-GB"/>
        </w:rPr>
      </w:pPr>
      <w:r w:rsidRPr="00B202CE">
        <w:rPr>
          <w:rFonts w:ascii="Arial" w:hAnsi="Arial" w:cs="Arial"/>
          <w:shd w:val="clear" w:color="auto" w:fill="FFFFFF"/>
        </w:rPr>
        <w:t>The population increase determined by births and deaths. </w:t>
      </w:r>
    </w:p>
    <w:p w14:paraId="6719932B" w14:textId="77777777" w:rsidR="001B2EF2" w:rsidRDefault="00885E73" w:rsidP="001B2EF2">
      <w:pPr>
        <w:pStyle w:val="Heading2"/>
        <w:rPr>
          <w:rFonts w:eastAsia="Times New Roman"/>
          <w:lang w:eastAsia="en-GB"/>
        </w:rPr>
      </w:pPr>
      <w:r w:rsidRPr="00E644F9">
        <w:rPr>
          <w:rFonts w:eastAsia="Times New Roman"/>
          <w:lang w:eastAsia="en-GB"/>
        </w:rPr>
        <w:t>Mixed Use area</w:t>
      </w:r>
    </w:p>
    <w:p w14:paraId="463A1AE4" w14:textId="6B20DF0B" w:rsidR="00885E73" w:rsidRPr="00E644F9" w:rsidRDefault="00885E73">
      <w:pPr>
        <w:rPr>
          <w:rFonts w:ascii="Arial" w:eastAsia="Times New Roman" w:hAnsi="Arial" w:cs="Arial"/>
          <w:b/>
          <w:bCs/>
          <w:color w:val="000000"/>
          <w:lang w:eastAsia="en-GB"/>
        </w:rPr>
      </w:pPr>
      <w:r w:rsidRPr="00E644F9">
        <w:rPr>
          <w:rFonts w:ascii="Arial" w:hAnsi="Arial" w:cs="Arial"/>
          <w:color w:val="000000"/>
        </w:rPr>
        <w:t xml:space="preserve">Provision of a mix of complementary uses, such as residential, community and leisure </w:t>
      </w:r>
      <w:proofErr w:type="gramStart"/>
      <w:r w:rsidRPr="00E644F9">
        <w:rPr>
          <w:rFonts w:ascii="Arial" w:hAnsi="Arial" w:cs="Arial"/>
          <w:color w:val="000000"/>
        </w:rPr>
        <w:t>uses</w:t>
      </w:r>
      <w:proofErr w:type="gramEnd"/>
      <w:r w:rsidRPr="00E644F9">
        <w:rPr>
          <w:rFonts w:ascii="Arial" w:hAnsi="Arial" w:cs="Arial"/>
          <w:color w:val="000000"/>
        </w:rPr>
        <w:t>, on a site or within a particular area.</w:t>
      </w:r>
    </w:p>
    <w:p w14:paraId="6388AFDF" w14:textId="77777777" w:rsidR="001B2EF2" w:rsidRDefault="005914FA" w:rsidP="001B2EF2">
      <w:pPr>
        <w:pStyle w:val="Heading2"/>
        <w:rPr>
          <w:rFonts w:eastAsia="Times New Roman"/>
          <w:lang w:eastAsia="en-GB"/>
        </w:rPr>
      </w:pPr>
      <w:r w:rsidRPr="00E644F9">
        <w:rPr>
          <w:rFonts w:eastAsia="Times New Roman"/>
          <w:lang w:eastAsia="en-GB"/>
        </w:rPr>
        <w:t>Objective</w:t>
      </w:r>
    </w:p>
    <w:p w14:paraId="097AA418" w14:textId="521750EF" w:rsidR="005914FA" w:rsidRPr="00E644F9" w:rsidRDefault="005914FA">
      <w:pPr>
        <w:rPr>
          <w:rFonts w:ascii="Arial" w:eastAsia="Times New Roman" w:hAnsi="Arial" w:cs="Arial"/>
          <w:color w:val="000000"/>
          <w:lang w:eastAsia="en-GB"/>
        </w:rPr>
      </w:pPr>
      <w:r w:rsidRPr="00E644F9">
        <w:rPr>
          <w:rFonts w:ascii="Arial" w:hAnsi="Arial" w:cs="Arial"/>
        </w:rPr>
        <w:t>A statement of what is intended, specifying the desired direction of change in trends.</w:t>
      </w:r>
    </w:p>
    <w:p w14:paraId="10DE93BA" w14:textId="77777777" w:rsidR="001B2EF2" w:rsidRDefault="0042016E" w:rsidP="001B2EF2">
      <w:pPr>
        <w:pStyle w:val="Heading2"/>
        <w:rPr>
          <w:rFonts w:eastAsia="Times New Roman"/>
          <w:lang w:eastAsia="en-GB"/>
        </w:rPr>
      </w:pPr>
      <w:r w:rsidRPr="00E644F9">
        <w:rPr>
          <w:rFonts w:eastAsia="Times New Roman"/>
          <w:lang w:eastAsia="en-GB"/>
        </w:rPr>
        <w:t>One Planet Cardiff</w:t>
      </w:r>
    </w:p>
    <w:p w14:paraId="073B0274" w14:textId="7D390E17" w:rsidR="00AC37EA" w:rsidRPr="00E644F9" w:rsidRDefault="00AC37EA">
      <w:pPr>
        <w:rPr>
          <w:rFonts w:ascii="Arial" w:eastAsia="Times New Roman" w:hAnsi="Arial" w:cs="Arial"/>
          <w:color w:val="000000" w:themeColor="text1"/>
          <w:lang w:eastAsia="en-GB"/>
        </w:rPr>
      </w:pPr>
      <w:r w:rsidRPr="00E644F9">
        <w:rPr>
          <w:rFonts w:ascii="Arial" w:eastAsia="Times New Roman" w:hAnsi="Arial" w:cs="Arial"/>
          <w:color w:val="000000" w:themeColor="text1"/>
          <w:lang w:eastAsia="en-GB"/>
        </w:rPr>
        <w:t>The Council’s strategic response to the climate emergency.</w:t>
      </w:r>
    </w:p>
    <w:p w14:paraId="327D4C9B" w14:textId="77777777" w:rsidR="001B2EF2" w:rsidRDefault="0042016E" w:rsidP="001B2EF2">
      <w:pPr>
        <w:pStyle w:val="Heading2"/>
        <w:rPr>
          <w:rFonts w:eastAsia="Times New Roman"/>
          <w:lang w:eastAsia="en-GB"/>
        </w:rPr>
      </w:pPr>
      <w:r w:rsidRPr="00E644F9">
        <w:rPr>
          <w:rFonts w:eastAsia="Times New Roman"/>
          <w:lang w:eastAsia="en-GB"/>
        </w:rPr>
        <w:t>Placemaking Principles</w:t>
      </w:r>
    </w:p>
    <w:p w14:paraId="57BA0F85" w14:textId="3C0BF9DC" w:rsidR="00527F0A" w:rsidRPr="00E644F9" w:rsidRDefault="00AC37EA">
      <w:pPr>
        <w:rPr>
          <w:rFonts w:ascii="Arial" w:eastAsia="Times New Roman" w:hAnsi="Arial" w:cs="Arial"/>
          <w:color w:val="000000" w:themeColor="text1"/>
          <w:lang w:eastAsia="en-GB"/>
        </w:rPr>
      </w:pPr>
      <w:r w:rsidRPr="00E644F9">
        <w:rPr>
          <w:rFonts w:ascii="Arial" w:hAnsi="Arial" w:cs="Arial"/>
          <w:color w:val="111111"/>
          <w:shd w:val="clear" w:color="auto" w:fill="FFFFFF"/>
        </w:rPr>
        <w:t>Placemaking means </w:t>
      </w:r>
      <w:r w:rsidRPr="00E644F9">
        <w:rPr>
          <w:rStyle w:val="Strong"/>
          <w:rFonts w:ascii="Arial" w:hAnsi="Arial" w:cs="Arial"/>
          <w:b w:val="0"/>
          <w:bCs w:val="0"/>
          <w:color w:val="111111"/>
          <w:shd w:val="clear" w:color="auto" w:fill="FFFFFF"/>
        </w:rPr>
        <w:t>creating places</w:t>
      </w:r>
      <w:r w:rsidRPr="00E644F9">
        <w:rPr>
          <w:rFonts w:ascii="Arial" w:hAnsi="Arial" w:cs="Arial"/>
          <w:color w:val="111111"/>
          <w:shd w:val="clear" w:color="auto" w:fill="FFFFFF"/>
        </w:rPr>
        <w:t> and focuses on transforming public spaces to strengthen the connections between people and these places. Placemaking is a process cent</w:t>
      </w:r>
      <w:r w:rsidR="00CA7674">
        <w:rPr>
          <w:rFonts w:ascii="Arial" w:hAnsi="Arial" w:cs="Arial"/>
          <w:color w:val="111111"/>
          <w:shd w:val="clear" w:color="auto" w:fill="FFFFFF"/>
        </w:rPr>
        <w:t>red</w:t>
      </w:r>
      <w:r w:rsidRPr="00E644F9">
        <w:rPr>
          <w:rFonts w:ascii="Arial" w:hAnsi="Arial" w:cs="Arial"/>
          <w:color w:val="111111"/>
          <w:shd w:val="clear" w:color="auto" w:fill="FFFFFF"/>
        </w:rPr>
        <w:t xml:space="preserve"> on people and their needs, aspirations, desires, and visions, which relies strongly on community participation.</w:t>
      </w:r>
    </w:p>
    <w:p w14:paraId="29E1653A" w14:textId="77777777" w:rsidR="001B2EF2" w:rsidRDefault="00CA7674" w:rsidP="001B2EF2">
      <w:pPr>
        <w:pStyle w:val="Heading2"/>
        <w:rPr>
          <w:rFonts w:eastAsia="Times New Roman"/>
          <w:lang w:eastAsia="en-GB"/>
        </w:rPr>
      </w:pPr>
      <w:r w:rsidRPr="00E644F9">
        <w:rPr>
          <w:rFonts w:eastAsia="Times New Roman"/>
          <w:lang w:eastAsia="en-GB"/>
        </w:rPr>
        <w:t>Planning Permission</w:t>
      </w:r>
    </w:p>
    <w:p w14:paraId="5E64F286" w14:textId="2B605674" w:rsidR="00CA7674" w:rsidRPr="00E644F9" w:rsidRDefault="00CA7674" w:rsidP="00CA7674">
      <w:pPr>
        <w:rPr>
          <w:rFonts w:ascii="Arial" w:eastAsia="Times New Roman" w:hAnsi="Arial" w:cs="Arial"/>
          <w:color w:val="000000"/>
          <w:lang w:eastAsia="en-GB"/>
        </w:rPr>
      </w:pPr>
      <w:r w:rsidRPr="00E644F9">
        <w:rPr>
          <w:rFonts w:ascii="Arial" w:eastAsia="Times New Roman" w:hAnsi="Arial" w:cs="Arial"/>
          <w:color w:val="000000"/>
          <w:lang w:eastAsia="en-GB"/>
        </w:rPr>
        <w:t>Formal approval sought from a council, often granted with conditions, allowing a proposed development to proceed. Permission may be sought in principle through outline planning applications, or be sought in detail through full planning applications.</w:t>
      </w:r>
    </w:p>
    <w:p w14:paraId="0B2EED57" w14:textId="77777777" w:rsidR="001B2EF2" w:rsidRDefault="00CA7674" w:rsidP="001B2EF2">
      <w:pPr>
        <w:pStyle w:val="Heading2"/>
        <w:rPr>
          <w:rFonts w:eastAsia="Times New Roman"/>
          <w:lang w:eastAsia="en-GB"/>
        </w:rPr>
      </w:pPr>
      <w:r w:rsidRPr="00E644F9">
        <w:rPr>
          <w:rFonts w:eastAsia="Times New Roman"/>
          <w:lang w:eastAsia="en-GB"/>
        </w:rPr>
        <w:t>Preferred Strategy</w:t>
      </w:r>
    </w:p>
    <w:p w14:paraId="0BF5066D" w14:textId="46000E3C" w:rsidR="00CA7674" w:rsidRPr="00E644F9" w:rsidRDefault="00CA7674" w:rsidP="00CA7674">
      <w:pPr>
        <w:rPr>
          <w:rFonts w:ascii="Arial" w:eastAsia="Times New Roman" w:hAnsi="Arial" w:cs="Arial"/>
          <w:color w:val="000000" w:themeColor="text1"/>
          <w:lang w:eastAsia="en-GB"/>
        </w:rPr>
      </w:pPr>
      <w:r w:rsidRPr="00E644F9">
        <w:rPr>
          <w:rFonts w:ascii="Arial" w:hAnsi="Arial" w:cs="Arial"/>
        </w:rPr>
        <w:t xml:space="preserve">Stage of plan preparation and consultation before the Deposit LDP is finalised and approved by Council. </w:t>
      </w:r>
      <w:r w:rsidRPr="00E644F9">
        <w:rPr>
          <w:rFonts w:ascii="Arial" w:eastAsia="Times New Roman" w:hAnsi="Arial" w:cs="Arial"/>
          <w:color w:val="000000" w:themeColor="text1"/>
          <w:lang w:eastAsia="en-GB"/>
        </w:rPr>
        <w:t xml:space="preserve"> </w:t>
      </w:r>
    </w:p>
    <w:p w14:paraId="0060452A" w14:textId="77777777" w:rsidR="001B2EF2" w:rsidRPr="001B2EF2" w:rsidRDefault="00CA7674" w:rsidP="001B2EF2">
      <w:pPr>
        <w:pStyle w:val="Heading2"/>
        <w:rPr>
          <w:rStyle w:val="normaltextrun"/>
        </w:rPr>
      </w:pPr>
      <w:r w:rsidRPr="001B2EF2">
        <w:rPr>
          <w:rStyle w:val="normaltextrun"/>
        </w:rPr>
        <w:t>Previously Developed Land (PDL) or 'Brownfield' land</w:t>
      </w:r>
    </w:p>
    <w:p w14:paraId="637AE11D" w14:textId="3BA67E54" w:rsidR="001B2EF2" w:rsidRDefault="00CA7674" w:rsidP="00B202CE">
      <w:pPr>
        <w:pStyle w:val="paragraph"/>
        <w:spacing w:before="0" w:beforeAutospacing="0" w:after="240" w:afterAutospacing="0"/>
        <w:textAlignment w:val="baseline"/>
        <w:rPr>
          <w:rFonts w:ascii="Arial" w:hAnsi="Arial" w:cs="Arial"/>
          <w:b/>
          <w:bCs/>
          <w:color w:val="000000" w:themeColor="text1"/>
        </w:rPr>
      </w:pPr>
      <w:r w:rsidRPr="00E644F9">
        <w:rPr>
          <w:rStyle w:val="normaltextrun"/>
          <w:rFonts w:ascii="Arial" w:hAnsi="Arial" w:cs="Arial"/>
          <w:sz w:val="22"/>
          <w:szCs w:val="22"/>
        </w:rPr>
        <w:t>Previously developed land is that which is or was occupied by a permanent structure (excluding agricultural or forestry buildings) and associated fixed</w:t>
      </w:r>
      <w:r w:rsidRPr="00E644F9">
        <w:rPr>
          <w:rStyle w:val="normaltextrun"/>
          <w:rFonts w:ascii="Cambria Math" w:hAnsi="Cambria Math" w:cs="Cambria Math"/>
          <w:sz w:val="22"/>
          <w:szCs w:val="22"/>
        </w:rPr>
        <w:t>‐</w:t>
      </w:r>
      <w:r w:rsidRPr="00E644F9">
        <w:rPr>
          <w:rStyle w:val="normaltextrun"/>
          <w:rFonts w:ascii="Arial" w:hAnsi="Arial" w:cs="Arial"/>
          <w:sz w:val="22"/>
          <w:szCs w:val="22"/>
        </w:rPr>
        <w:t>surface infrastructure. The definition covers the curtilage of the development.</w:t>
      </w:r>
    </w:p>
    <w:p w14:paraId="5317C7EA" w14:textId="77777777" w:rsidR="001B2EF2" w:rsidRDefault="00E87661" w:rsidP="001B2EF2">
      <w:pPr>
        <w:pStyle w:val="Heading2"/>
        <w:rPr>
          <w:rFonts w:eastAsia="Times New Roman"/>
          <w:lang w:eastAsia="en-GB"/>
        </w:rPr>
      </w:pPr>
      <w:r w:rsidRPr="00E644F9">
        <w:rPr>
          <w:rFonts w:eastAsia="Times New Roman"/>
          <w:lang w:eastAsia="en-GB"/>
        </w:rPr>
        <w:t xml:space="preserve">Public Transit </w:t>
      </w:r>
      <w:r w:rsidR="00527F0A" w:rsidRPr="00E644F9">
        <w:rPr>
          <w:rFonts w:eastAsia="Times New Roman"/>
          <w:lang w:eastAsia="en-GB"/>
        </w:rPr>
        <w:t>Growth Corridors</w:t>
      </w:r>
    </w:p>
    <w:p w14:paraId="0A71B1BC" w14:textId="01412328" w:rsidR="00E87661" w:rsidRPr="00E644F9" w:rsidRDefault="00AC37EA">
      <w:pPr>
        <w:rPr>
          <w:rFonts w:ascii="Arial" w:eastAsia="Times New Roman" w:hAnsi="Arial" w:cs="Arial"/>
          <w:color w:val="000000" w:themeColor="text1"/>
          <w:lang w:eastAsia="en-GB"/>
        </w:rPr>
      </w:pPr>
      <w:r w:rsidRPr="00E644F9">
        <w:rPr>
          <w:rFonts w:ascii="Arial" w:eastAsia="Times New Roman" w:hAnsi="Arial" w:cs="Arial"/>
          <w:color w:val="000000" w:themeColor="text1"/>
          <w:lang w:eastAsia="en-GB"/>
        </w:rPr>
        <w:t>Growth centred along existing or proposed public transport</w:t>
      </w:r>
      <w:r w:rsidR="003719C2">
        <w:rPr>
          <w:rFonts w:ascii="Arial" w:eastAsia="Times New Roman" w:hAnsi="Arial" w:cs="Arial"/>
          <w:color w:val="000000" w:themeColor="text1"/>
          <w:lang w:eastAsia="en-GB"/>
        </w:rPr>
        <w:t xml:space="preserve"> (rail, tram, bus)</w:t>
      </w:r>
      <w:r w:rsidRPr="00E644F9">
        <w:rPr>
          <w:rFonts w:ascii="Arial" w:eastAsia="Times New Roman" w:hAnsi="Arial" w:cs="Arial"/>
          <w:color w:val="000000" w:themeColor="text1"/>
          <w:lang w:eastAsia="en-GB"/>
        </w:rPr>
        <w:t xml:space="preserve"> corridors. </w:t>
      </w:r>
    </w:p>
    <w:p w14:paraId="5133677D" w14:textId="77777777" w:rsidR="001B2EF2" w:rsidRDefault="00E644F9" w:rsidP="001B2EF2">
      <w:pPr>
        <w:pStyle w:val="Heading2"/>
        <w:rPr>
          <w:rFonts w:eastAsia="Times New Roman"/>
          <w:lang w:eastAsia="en-GB"/>
        </w:rPr>
      </w:pPr>
      <w:r w:rsidRPr="00E644F9">
        <w:rPr>
          <w:rFonts w:eastAsia="Times New Roman"/>
          <w:lang w:eastAsia="en-GB"/>
        </w:rPr>
        <w:t>Regeneration</w:t>
      </w:r>
    </w:p>
    <w:p w14:paraId="4BF59B81" w14:textId="671DF3FB" w:rsidR="00E644F9" w:rsidRPr="00E644F9" w:rsidRDefault="00E644F9" w:rsidP="00CA7674">
      <w:pPr>
        <w:rPr>
          <w:rFonts w:ascii="Arial" w:hAnsi="Arial" w:cs="Arial"/>
        </w:rPr>
      </w:pPr>
      <w:r w:rsidRPr="00E644F9">
        <w:rPr>
          <w:rStyle w:val="normaltextrun"/>
          <w:rFonts w:ascii="Arial" w:hAnsi="Arial" w:cs="Arial"/>
        </w:rPr>
        <w:t xml:space="preserve">The economic, </w:t>
      </w:r>
      <w:proofErr w:type="gramStart"/>
      <w:r w:rsidRPr="00E644F9">
        <w:rPr>
          <w:rStyle w:val="normaltextrun"/>
          <w:rFonts w:ascii="Arial" w:hAnsi="Arial" w:cs="Arial"/>
        </w:rPr>
        <w:t>social</w:t>
      </w:r>
      <w:proofErr w:type="gramEnd"/>
      <w:r w:rsidRPr="00E644F9">
        <w:rPr>
          <w:rStyle w:val="normaltextrun"/>
          <w:rFonts w:ascii="Arial" w:hAnsi="Arial" w:cs="Arial"/>
        </w:rPr>
        <w:t xml:space="preserve"> and environmental renewal and improvement of rural and urban areas.</w:t>
      </w:r>
    </w:p>
    <w:p w14:paraId="580CB941" w14:textId="77777777" w:rsidR="001B2EF2" w:rsidRDefault="0042016E" w:rsidP="001B2EF2">
      <w:pPr>
        <w:pStyle w:val="Heading2"/>
        <w:rPr>
          <w:rFonts w:eastAsia="Times New Roman"/>
          <w:lang w:eastAsia="en-GB"/>
        </w:rPr>
      </w:pPr>
      <w:r w:rsidRPr="00E644F9">
        <w:rPr>
          <w:rFonts w:eastAsia="Times New Roman"/>
          <w:lang w:eastAsia="en-GB"/>
        </w:rPr>
        <w:t>Remediation</w:t>
      </w:r>
    </w:p>
    <w:p w14:paraId="16463980" w14:textId="35534F0F" w:rsidR="0042016E" w:rsidRPr="00E644F9" w:rsidRDefault="0042016E" w:rsidP="0042016E">
      <w:pPr>
        <w:rPr>
          <w:rFonts w:ascii="Arial" w:eastAsia="Times New Roman" w:hAnsi="Arial" w:cs="Arial"/>
          <w:color w:val="000000"/>
          <w:lang w:eastAsia="en-GB"/>
        </w:rPr>
      </w:pPr>
      <w:r w:rsidRPr="00E644F9">
        <w:rPr>
          <w:rFonts w:ascii="Arial" w:hAnsi="Arial" w:cs="Arial"/>
          <w:color w:val="000000"/>
        </w:rPr>
        <w:t>The work needed to raise the quality of land to an acceptable level before it is used or developed. For example, contaminated land may need pollutants removing.</w:t>
      </w:r>
    </w:p>
    <w:p w14:paraId="214D759F" w14:textId="77777777" w:rsidR="001B2EF2" w:rsidRPr="00B202CE" w:rsidRDefault="00E644F9" w:rsidP="00B202CE">
      <w:pPr>
        <w:pStyle w:val="Heading2"/>
        <w:rPr>
          <w:rStyle w:val="normaltextrun"/>
        </w:rPr>
      </w:pPr>
      <w:r w:rsidRPr="00B202CE">
        <w:rPr>
          <w:rStyle w:val="normaltextrun"/>
        </w:rPr>
        <w:t>Residual Requirement</w:t>
      </w:r>
    </w:p>
    <w:p w14:paraId="3269AFB5" w14:textId="1B868135" w:rsidR="00B202CE" w:rsidRDefault="00E644F9" w:rsidP="00B202CE">
      <w:pPr>
        <w:pStyle w:val="paragraph"/>
        <w:spacing w:before="0" w:beforeAutospacing="0" w:after="240" w:afterAutospacing="0"/>
        <w:textAlignment w:val="baseline"/>
        <w:rPr>
          <w:rStyle w:val="normaltextrun"/>
          <w:rFonts w:ascii="Arial" w:hAnsi="Arial" w:cs="Arial"/>
          <w:sz w:val="22"/>
          <w:szCs w:val="22"/>
        </w:rPr>
      </w:pPr>
      <w:r w:rsidRPr="00E644F9">
        <w:rPr>
          <w:rStyle w:val="normaltextrun"/>
          <w:rFonts w:ascii="Arial" w:hAnsi="Arial" w:cs="Arial"/>
          <w:sz w:val="22"/>
          <w:szCs w:val="22"/>
        </w:rPr>
        <w:t>Additional homes that the LDP will need to find, further to homes which already have planning permission or are likely to be built as windfalls.</w:t>
      </w:r>
    </w:p>
    <w:p w14:paraId="37DAB08D" w14:textId="5C36A3FC" w:rsidR="001B2EF2" w:rsidRDefault="0042016E" w:rsidP="00B202CE">
      <w:pPr>
        <w:pStyle w:val="Heading2"/>
        <w:spacing w:before="0"/>
        <w:rPr>
          <w:rFonts w:eastAsia="Times New Roman"/>
        </w:rPr>
      </w:pPr>
      <w:r w:rsidRPr="00E644F9">
        <w:rPr>
          <w:rFonts w:eastAsia="Times New Roman"/>
        </w:rPr>
        <w:t>Settlement Boundary</w:t>
      </w:r>
    </w:p>
    <w:p w14:paraId="6DA0844D" w14:textId="2557E436" w:rsidR="00AC37EA" w:rsidRPr="00E644F9" w:rsidRDefault="00AC37EA" w:rsidP="0042016E">
      <w:pPr>
        <w:rPr>
          <w:rFonts w:ascii="Arial" w:eastAsia="Times New Roman" w:hAnsi="Arial" w:cs="Arial"/>
          <w:color w:val="000000"/>
          <w:lang w:eastAsia="en-GB"/>
        </w:rPr>
      </w:pPr>
      <w:r w:rsidRPr="00E644F9">
        <w:rPr>
          <w:rFonts w:ascii="Arial" w:eastAsia="Times New Roman" w:hAnsi="Arial" w:cs="Arial"/>
          <w:color w:val="000000"/>
          <w:lang w:eastAsia="en-GB"/>
        </w:rPr>
        <w:t>Line drawn around the urban area and identified on the adopted LDP Proposals Map</w:t>
      </w:r>
    </w:p>
    <w:p w14:paraId="59BF3B84" w14:textId="498C06AF" w:rsidR="00C81BFA" w:rsidRPr="00E644F9" w:rsidRDefault="00496FA4" w:rsidP="001B2EF2">
      <w:pPr>
        <w:pStyle w:val="Heading2"/>
        <w:rPr>
          <w:rFonts w:eastAsia="Times New Roman"/>
          <w:lang w:eastAsia="en-GB"/>
        </w:rPr>
      </w:pPr>
      <w:r w:rsidRPr="00E644F9">
        <w:rPr>
          <w:rFonts w:eastAsia="Times New Roman"/>
          <w:lang w:eastAsia="en-GB"/>
        </w:rPr>
        <w:t>Sustainable Development</w:t>
      </w:r>
    </w:p>
    <w:p w14:paraId="1BE9416A" w14:textId="6412C22A" w:rsidR="00AC37EA" w:rsidRPr="00E644F9" w:rsidRDefault="00AC37EA">
      <w:pPr>
        <w:rPr>
          <w:rFonts w:ascii="Arial" w:eastAsia="Times New Roman" w:hAnsi="Arial" w:cs="Arial"/>
          <w:color w:val="000000" w:themeColor="text1"/>
          <w:lang w:eastAsia="en-GB"/>
        </w:rPr>
      </w:pPr>
      <w:r w:rsidRPr="00E644F9">
        <w:rPr>
          <w:rFonts w:ascii="Arial" w:eastAsia="Times New Roman" w:hAnsi="Arial" w:cs="Arial"/>
          <w:color w:val="000000" w:themeColor="text1"/>
          <w:lang w:eastAsia="en-GB"/>
        </w:rPr>
        <w:t xml:space="preserve">Development </w:t>
      </w:r>
      <w:r w:rsidR="00DB141E" w:rsidRPr="00E644F9">
        <w:rPr>
          <w:rFonts w:ascii="Arial" w:eastAsia="Times New Roman" w:hAnsi="Arial" w:cs="Arial"/>
          <w:color w:val="000000" w:themeColor="text1"/>
          <w:lang w:eastAsia="en-GB"/>
        </w:rPr>
        <w:t>which meets the needs of the present without compromising the ability of future generation to meet their own needs</w:t>
      </w:r>
    </w:p>
    <w:p w14:paraId="06146A62" w14:textId="36350F19" w:rsidR="00E87661" w:rsidRPr="00E644F9" w:rsidRDefault="00E87661" w:rsidP="001B2EF2">
      <w:pPr>
        <w:pStyle w:val="Heading2"/>
      </w:pPr>
      <w:r w:rsidRPr="00E644F9">
        <w:t>Sustainable Transport</w:t>
      </w:r>
    </w:p>
    <w:p w14:paraId="2018D2CA" w14:textId="748EC65B" w:rsidR="00496FA4" w:rsidRPr="00E644F9" w:rsidRDefault="00E87661">
      <w:pPr>
        <w:rPr>
          <w:rFonts w:ascii="Arial" w:hAnsi="Arial" w:cs="Arial"/>
          <w:color w:val="000000"/>
        </w:rPr>
      </w:pPr>
      <w:r w:rsidRPr="00E644F9">
        <w:rPr>
          <w:rFonts w:ascii="Arial" w:hAnsi="Arial" w:cs="Arial"/>
          <w:color w:val="000000"/>
        </w:rPr>
        <w:t xml:space="preserve">Any efficient, </w:t>
      </w:r>
      <w:proofErr w:type="gramStart"/>
      <w:r w:rsidRPr="00E644F9">
        <w:rPr>
          <w:rFonts w:ascii="Arial" w:hAnsi="Arial" w:cs="Arial"/>
          <w:color w:val="000000"/>
        </w:rPr>
        <w:t>safe</w:t>
      </w:r>
      <w:proofErr w:type="gramEnd"/>
      <w:r w:rsidRPr="00E644F9">
        <w:rPr>
          <w:rFonts w:ascii="Arial" w:hAnsi="Arial" w:cs="Arial"/>
          <w:color w:val="000000"/>
        </w:rPr>
        <w:t xml:space="preserve"> and accessible means of transport with overall low impact on the environment, including walking and cycling, low and </w:t>
      </w:r>
      <w:r w:rsidR="0068318C" w:rsidRPr="00E644F9">
        <w:rPr>
          <w:rFonts w:ascii="Arial" w:hAnsi="Arial" w:cs="Arial"/>
          <w:color w:val="000000"/>
        </w:rPr>
        <w:t>ultra-low</w:t>
      </w:r>
      <w:r w:rsidRPr="00E644F9">
        <w:rPr>
          <w:rFonts w:ascii="Arial" w:hAnsi="Arial" w:cs="Arial"/>
          <w:color w:val="000000"/>
        </w:rPr>
        <w:t xml:space="preserve"> emission vehicles, car sharing and public transport.</w:t>
      </w:r>
    </w:p>
    <w:p w14:paraId="19B874AF" w14:textId="77777777" w:rsidR="001B2EF2" w:rsidRDefault="00CA7674" w:rsidP="001B2EF2">
      <w:pPr>
        <w:pStyle w:val="Heading2"/>
        <w:rPr>
          <w:rFonts w:eastAsia="Times New Roman"/>
          <w:lang w:eastAsia="en-GB"/>
        </w:rPr>
      </w:pPr>
      <w:r w:rsidRPr="00E644F9">
        <w:rPr>
          <w:rFonts w:eastAsia="Times New Roman"/>
          <w:lang w:eastAsia="en-GB"/>
        </w:rPr>
        <w:t>Urban Intensification</w:t>
      </w:r>
    </w:p>
    <w:p w14:paraId="1ED601BB" w14:textId="7C09A97F" w:rsidR="00CA7674" w:rsidRPr="00E644F9" w:rsidRDefault="00CA7674" w:rsidP="00CA7674">
      <w:pPr>
        <w:rPr>
          <w:rFonts w:ascii="Arial" w:eastAsia="Times New Roman" w:hAnsi="Arial" w:cs="Arial"/>
          <w:color w:val="000000" w:themeColor="text1"/>
          <w:lang w:eastAsia="en-GB"/>
        </w:rPr>
      </w:pPr>
      <w:r w:rsidRPr="00E644F9">
        <w:rPr>
          <w:rFonts w:ascii="Arial" w:eastAsia="Times New Roman" w:hAnsi="Arial" w:cs="Arial"/>
          <w:color w:val="000000" w:themeColor="text1"/>
          <w:lang w:eastAsia="en-GB"/>
        </w:rPr>
        <w:t>Maximising the capacity of the urban area to deliver new development</w:t>
      </w:r>
      <w:r>
        <w:rPr>
          <w:rFonts w:ascii="Arial" w:eastAsia="Times New Roman" w:hAnsi="Arial" w:cs="Arial"/>
          <w:color w:val="000000" w:themeColor="text1"/>
          <w:lang w:eastAsia="en-GB"/>
        </w:rPr>
        <w:t>.</w:t>
      </w:r>
    </w:p>
    <w:p w14:paraId="669A7B80" w14:textId="77777777" w:rsidR="001B2EF2" w:rsidRPr="001B2EF2" w:rsidRDefault="00E644F9" w:rsidP="001B2EF2">
      <w:pPr>
        <w:pStyle w:val="Heading2"/>
        <w:rPr>
          <w:rStyle w:val="normaltextrun"/>
        </w:rPr>
      </w:pPr>
      <w:r w:rsidRPr="001B2EF2">
        <w:rPr>
          <w:rStyle w:val="normaltextrun"/>
        </w:rPr>
        <w:t>Windfall Sites</w:t>
      </w:r>
    </w:p>
    <w:p w14:paraId="53462637" w14:textId="77777777" w:rsidR="00B202CE" w:rsidRDefault="00E644F9" w:rsidP="00B202CE">
      <w:pPr>
        <w:pStyle w:val="paragraph"/>
        <w:spacing w:before="0" w:beforeAutospacing="0" w:after="240" w:afterAutospacing="0"/>
        <w:textAlignment w:val="baseline"/>
        <w:rPr>
          <w:rStyle w:val="eop"/>
          <w:rFonts w:ascii="Arial" w:hAnsi="Arial" w:cs="Arial"/>
          <w:color w:val="000000"/>
          <w:sz w:val="22"/>
          <w:szCs w:val="22"/>
        </w:rPr>
      </w:pPr>
      <w:r w:rsidRPr="00E644F9">
        <w:rPr>
          <w:rStyle w:val="normaltextrun"/>
          <w:rFonts w:ascii="Arial" w:hAnsi="Arial" w:cs="Arial"/>
          <w:color w:val="000000"/>
          <w:sz w:val="22"/>
          <w:szCs w:val="22"/>
          <w:shd w:val="clear" w:color="auto" w:fill="FFFFFF"/>
        </w:rPr>
        <w:t>A site not specifically allocated for development which becomes available for development during the lifetime of a plan.</w:t>
      </w:r>
    </w:p>
    <w:p w14:paraId="14A704C8" w14:textId="70FDCA48" w:rsidR="001B2EF2" w:rsidRPr="001B2EF2" w:rsidRDefault="00E87661" w:rsidP="00B202CE">
      <w:pPr>
        <w:pStyle w:val="Heading2"/>
        <w:rPr>
          <w:rFonts w:eastAsia="Times New Roman" w:cs="Arial"/>
          <w:sz w:val="22"/>
          <w:szCs w:val="22"/>
        </w:rPr>
      </w:pPr>
      <w:r w:rsidRPr="00E644F9">
        <w:rPr>
          <w:rFonts w:eastAsia="Times New Roman"/>
        </w:rPr>
        <w:t>20</w:t>
      </w:r>
      <w:r w:rsidR="00FC5825" w:rsidRPr="00E644F9">
        <w:rPr>
          <w:rFonts w:eastAsia="Times New Roman"/>
        </w:rPr>
        <w:t>-</w:t>
      </w:r>
      <w:r w:rsidRPr="00E644F9">
        <w:rPr>
          <w:rFonts w:eastAsia="Times New Roman"/>
        </w:rPr>
        <w:t>minute neighbourhoods</w:t>
      </w:r>
    </w:p>
    <w:p w14:paraId="419327A0" w14:textId="704AC5FB" w:rsidR="00FC5825" w:rsidRPr="00E644F9" w:rsidRDefault="00FC5825" w:rsidP="00CA7674">
      <w:pPr>
        <w:rPr>
          <w:rFonts w:ascii="Arial" w:hAnsi="Arial" w:cs="Arial"/>
          <w:color w:val="222222"/>
        </w:rPr>
      </w:pPr>
      <w:r w:rsidRPr="00E644F9">
        <w:rPr>
          <w:rFonts w:ascii="Arial" w:hAnsi="Arial" w:cs="Arial"/>
          <w:color w:val="222222"/>
        </w:rPr>
        <w:t>The idea of the '20-minute neighbourhood' (also known as 15-minute cities) has grown with interest around the world, especially since the COVID-19 pandemic put a spotlight on the importance of the liveability of where we live.</w:t>
      </w:r>
    </w:p>
    <w:p w14:paraId="5CF8A5EF" w14:textId="36565323" w:rsidR="00C81BFA" w:rsidRPr="001B2EF2" w:rsidRDefault="0051291B" w:rsidP="001B2EF2">
      <w:pPr>
        <w:pStyle w:val="NormalWeb"/>
        <w:shd w:val="clear" w:color="auto" w:fill="FFFFFF"/>
        <w:spacing w:before="0" w:beforeAutospacing="0" w:after="150" w:afterAutospacing="0"/>
        <w:jc w:val="both"/>
        <w:rPr>
          <w:rFonts w:ascii="Arial" w:hAnsi="Arial" w:cs="Arial"/>
          <w:color w:val="222222"/>
          <w:sz w:val="22"/>
          <w:szCs w:val="22"/>
        </w:rPr>
      </w:pPr>
      <w:r w:rsidRPr="00E644F9">
        <w:rPr>
          <w:rFonts w:ascii="Arial" w:hAnsi="Arial" w:cs="Arial"/>
          <w:color w:val="222222"/>
          <w:sz w:val="22"/>
          <w:szCs w:val="22"/>
        </w:rPr>
        <w:t>It is a</w:t>
      </w:r>
      <w:r w:rsidR="00FC5825" w:rsidRPr="00E644F9">
        <w:rPr>
          <w:rFonts w:ascii="Arial" w:hAnsi="Arial" w:cs="Arial"/>
          <w:color w:val="222222"/>
          <w:sz w:val="22"/>
          <w:szCs w:val="22"/>
        </w:rPr>
        <w:t xml:space="preserve">nother way of describing a complete, </w:t>
      </w:r>
      <w:proofErr w:type="gramStart"/>
      <w:r w:rsidR="00FC5825" w:rsidRPr="00E644F9">
        <w:rPr>
          <w:rFonts w:ascii="Arial" w:hAnsi="Arial" w:cs="Arial"/>
          <w:color w:val="222222"/>
          <w:sz w:val="22"/>
          <w:szCs w:val="22"/>
        </w:rPr>
        <w:t>compact</w:t>
      </w:r>
      <w:proofErr w:type="gramEnd"/>
      <w:r w:rsidR="00FC5825" w:rsidRPr="00E644F9">
        <w:rPr>
          <w:rFonts w:ascii="Arial" w:hAnsi="Arial" w:cs="Arial"/>
          <w:color w:val="222222"/>
          <w:sz w:val="22"/>
          <w:szCs w:val="22"/>
        </w:rPr>
        <w:t xml:space="preserve"> and connected neighbourhood, where people can meet their everyday needs within a short walk or cycle, the idea of the 20-minute neighbourhood presents multiple benefits including boosting local economies, improving people’s health and wellbeing, increasing social connections in communities, and tackling climate change.</w:t>
      </w:r>
    </w:p>
    <w:sectPr w:rsidR="00C81BFA" w:rsidRPr="001B2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D1"/>
    <w:rsid w:val="00011FEC"/>
    <w:rsid w:val="000155F2"/>
    <w:rsid w:val="0005551F"/>
    <w:rsid w:val="001B2EF2"/>
    <w:rsid w:val="001C15CA"/>
    <w:rsid w:val="00220933"/>
    <w:rsid w:val="003719C2"/>
    <w:rsid w:val="003F6E43"/>
    <w:rsid w:val="0042016E"/>
    <w:rsid w:val="00496FA4"/>
    <w:rsid w:val="0051291B"/>
    <w:rsid w:val="00527F0A"/>
    <w:rsid w:val="00553A30"/>
    <w:rsid w:val="005914FA"/>
    <w:rsid w:val="005A1334"/>
    <w:rsid w:val="0068318C"/>
    <w:rsid w:val="006E505D"/>
    <w:rsid w:val="00712D91"/>
    <w:rsid w:val="00885E73"/>
    <w:rsid w:val="009A580C"/>
    <w:rsid w:val="00A15764"/>
    <w:rsid w:val="00AC37EA"/>
    <w:rsid w:val="00B202CE"/>
    <w:rsid w:val="00B64EC6"/>
    <w:rsid w:val="00BE6722"/>
    <w:rsid w:val="00C81BFA"/>
    <w:rsid w:val="00CA5DC3"/>
    <w:rsid w:val="00CA7674"/>
    <w:rsid w:val="00D66D7F"/>
    <w:rsid w:val="00DB141E"/>
    <w:rsid w:val="00E205D1"/>
    <w:rsid w:val="00E644F9"/>
    <w:rsid w:val="00E87661"/>
    <w:rsid w:val="00F04911"/>
    <w:rsid w:val="00F44419"/>
    <w:rsid w:val="00FC5825"/>
    <w:rsid w:val="00FE7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4271"/>
  <w15:chartTrackingRefBased/>
  <w15:docId w15:val="{386E8C70-766A-430A-931D-AB19C64F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B2EF2"/>
    <w:pPr>
      <w:keepNext/>
      <w:keepLines/>
      <w:spacing w:before="240" w:after="240"/>
      <w:outlineLvl w:val="0"/>
    </w:pPr>
    <w:rPr>
      <w:rFonts w:ascii="Arial" w:eastAsia="Times New Roman" w:hAnsi="Arial" w:cstheme="majorBidi"/>
      <w:b/>
      <w:sz w:val="32"/>
      <w:szCs w:val="32"/>
      <w:lang w:eastAsia="en-GB"/>
    </w:rPr>
  </w:style>
  <w:style w:type="paragraph" w:styleId="Heading2">
    <w:name w:val="heading 2"/>
    <w:basedOn w:val="Normal"/>
    <w:next w:val="Normal"/>
    <w:link w:val="Heading2Char"/>
    <w:uiPriority w:val="9"/>
    <w:unhideWhenUsed/>
    <w:qFormat/>
    <w:rsid w:val="000155F2"/>
    <w:pPr>
      <w:keepNext/>
      <w:keepLines/>
      <w:spacing w:before="40" w:after="0"/>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6E43"/>
    <w:rPr>
      <w:b/>
      <w:bCs/>
    </w:rPr>
  </w:style>
  <w:style w:type="paragraph" w:styleId="NormalWeb">
    <w:name w:val="Normal (Web)"/>
    <w:basedOn w:val="Normal"/>
    <w:uiPriority w:val="99"/>
    <w:unhideWhenUsed/>
    <w:rsid w:val="00FC58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644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44F9"/>
  </w:style>
  <w:style w:type="character" w:customStyle="1" w:styleId="eop">
    <w:name w:val="eop"/>
    <w:basedOn w:val="DefaultParagraphFont"/>
    <w:rsid w:val="00E644F9"/>
  </w:style>
  <w:style w:type="character" w:customStyle="1" w:styleId="Heading1Char">
    <w:name w:val="Heading 1 Char"/>
    <w:basedOn w:val="DefaultParagraphFont"/>
    <w:link w:val="Heading1"/>
    <w:uiPriority w:val="9"/>
    <w:rsid w:val="001B2EF2"/>
    <w:rPr>
      <w:rFonts w:ascii="Arial" w:eastAsia="Times New Roman" w:hAnsi="Arial" w:cstheme="majorBidi"/>
      <w:b/>
      <w:sz w:val="32"/>
      <w:szCs w:val="32"/>
      <w:lang w:eastAsia="en-GB"/>
    </w:rPr>
  </w:style>
  <w:style w:type="character" w:customStyle="1" w:styleId="Heading2Char">
    <w:name w:val="Heading 2 Char"/>
    <w:basedOn w:val="DefaultParagraphFont"/>
    <w:link w:val="Heading2"/>
    <w:uiPriority w:val="9"/>
    <w:rsid w:val="000155F2"/>
    <w:rPr>
      <w:rFonts w:ascii="Arial" w:eastAsiaTheme="majorEastAsia" w:hAnsi="Arial"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0783">
      <w:bodyDiv w:val="1"/>
      <w:marLeft w:val="0"/>
      <w:marRight w:val="0"/>
      <w:marTop w:val="0"/>
      <w:marBottom w:val="0"/>
      <w:divBdr>
        <w:top w:val="none" w:sz="0" w:space="0" w:color="auto"/>
        <w:left w:val="none" w:sz="0" w:space="0" w:color="auto"/>
        <w:bottom w:val="none" w:sz="0" w:space="0" w:color="auto"/>
        <w:right w:val="none" w:sz="0" w:space="0" w:color="auto"/>
      </w:divBdr>
      <w:divsChild>
        <w:div w:id="424153353">
          <w:marLeft w:val="0"/>
          <w:marRight w:val="0"/>
          <w:marTop w:val="0"/>
          <w:marBottom w:val="0"/>
          <w:divBdr>
            <w:top w:val="none" w:sz="0" w:space="0" w:color="auto"/>
            <w:left w:val="none" w:sz="0" w:space="0" w:color="auto"/>
            <w:bottom w:val="none" w:sz="0" w:space="0" w:color="auto"/>
            <w:right w:val="none" w:sz="0" w:space="0" w:color="auto"/>
          </w:divBdr>
          <w:divsChild>
            <w:div w:id="917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7760">
      <w:bodyDiv w:val="1"/>
      <w:marLeft w:val="0"/>
      <w:marRight w:val="0"/>
      <w:marTop w:val="0"/>
      <w:marBottom w:val="0"/>
      <w:divBdr>
        <w:top w:val="none" w:sz="0" w:space="0" w:color="auto"/>
        <w:left w:val="none" w:sz="0" w:space="0" w:color="auto"/>
        <w:bottom w:val="none" w:sz="0" w:space="0" w:color="auto"/>
        <w:right w:val="none" w:sz="0" w:space="0" w:color="auto"/>
      </w:divBdr>
      <w:divsChild>
        <w:div w:id="2143036002">
          <w:marLeft w:val="0"/>
          <w:marRight w:val="0"/>
          <w:marTop w:val="0"/>
          <w:marBottom w:val="0"/>
          <w:divBdr>
            <w:top w:val="none" w:sz="0" w:space="0" w:color="auto"/>
            <w:left w:val="none" w:sz="0" w:space="0" w:color="auto"/>
            <w:bottom w:val="none" w:sz="0" w:space="0" w:color="auto"/>
            <w:right w:val="none" w:sz="0" w:space="0" w:color="auto"/>
          </w:divBdr>
        </w:div>
        <w:div w:id="378819583">
          <w:marLeft w:val="0"/>
          <w:marRight w:val="0"/>
          <w:marTop w:val="0"/>
          <w:marBottom w:val="0"/>
          <w:divBdr>
            <w:top w:val="none" w:sz="0" w:space="0" w:color="auto"/>
            <w:left w:val="none" w:sz="0" w:space="0" w:color="auto"/>
            <w:bottom w:val="none" w:sz="0" w:space="0" w:color="auto"/>
            <w:right w:val="none" w:sz="0" w:space="0" w:color="auto"/>
          </w:divBdr>
        </w:div>
        <w:div w:id="1883858447">
          <w:marLeft w:val="0"/>
          <w:marRight w:val="0"/>
          <w:marTop w:val="0"/>
          <w:marBottom w:val="0"/>
          <w:divBdr>
            <w:top w:val="none" w:sz="0" w:space="0" w:color="auto"/>
            <w:left w:val="none" w:sz="0" w:space="0" w:color="auto"/>
            <w:bottom w:val="none" w:sz="0" w:space="0" w:color="auto"/>
            <w:right w:val="none" w:sz="0" w:space="0" w:color="auto"/>
          </w:divBdr>
        </w:div>
        <w:div w:id="1796407754">
          <w:marLeft w:val="0"/>
          <w:marRight w:val="0"/>
          <w:marTop w:val="0"/>
          <w:marBottom w:val="0"/>
          <w:divBdr>
            <w:top w:val="none" w:sz="0" w:space="0" w:color="auto"/>
            <w:left w:val="none" w:sz="0" w:space="0" w:color="auto"/>
            <w:bottom w:val="none" w:sz="0" w:space="0" w:color="auto"/>
            <w:right w:val="none" w:sz="0" w:space="0" w:color="auto"/>
          </w:divBdr>
        </w:div>
        <w:div w:id="757020559">
          <w:marLeft w:val="0"/>
          <w:marRight w:val="0"/>
          <w:marTop w:val="0"/>
          <w:marBottom w:val="0"/>
          <w:divBdr>
            <w:top w:val="none" w:sz="0" w:space="0" w:color="auto"/>
            <w:left w:val="none" w:sz="0" w:space="0" w:color="auto"/>
            <w:bottom w:val="none" w:sz="0" w:space="0" w:color="auto"/>
            <w:right w:val="none" w:sz="0" w:space="0" w:color="auto"/>
          </w:divBdr>
        </w:div>
        <w:div w:id="72557294">
          <w:marLeft w:val="0"/>
          <w:marRight w:val="0"/>
          <w:marTop w:val="0"/>
          <w:marBottom w:val="0"/>
          <w:divBdr>
            <w:top w:val="none" w:sz="0" w:space="0" w:color="auto"/>
            <w:left w:val="none" w:sz="0" w:space="0" w:color="auto"/>
            <w:bottom w:val="none" w:sz="0" w:space="0" w:color="auto"/>
            <w:right w:val="none" w:sz="0" w:space="0" w:color="auto"/>
          </w:divBdr>
        </w:div>
        <w:div w:id="607739420">
          <w:marLeft w:val="0"/>
          <w:marRight w:val="0"/>
          <w:marTop w:val="0"/>
          <w:marBottom w:val="0"/>
          <w:divBdr>
            <w:top w:val="none" w:sz="0" w:space="0" w:color="auto"/>
            <w:left w:val="none" w:sz="0" w:space="0" w:color="auto"/>
            <w:bottom w:val="none" w:sz="0" w:space="0" w:color="auto"/>
            <w:right w:val="none" w:sz="0" w:space="0" w:color="auto"/>
          </w:divBdr>
        </w:div>
        <w:div w:id="140854361">
          <w:marLeft w:val="0"/>
          <w:marRight w:val="0"/>
          <w:marTop w:val="0"/>
          <w:marBottom w:val="0"/>
          <w:divBdr>
            <w:top w:val="none" w:sz="0" w:space="0" w:color="auto"/>
            <w:left w:val="none" w:sz="0" w:space="0" w:color="auto"/>
            <w:bottom w:val="none" w:sz="0" w:space="0" w:color="auto"/>
            <w:right w:val="none" w:sz="0" w:space="0" w:color="auto"/>
          </w:divBdr>
        </w:div>
        <w:div w:id="766314959">
          <w:marLeft w:val="0"/>
          <w:marRight w:val="0"/>
          <w:marTop w:val="0"/>
          <w:marBottom w:val="0"/>
          <w:divBdr>
            <w:top w:val="none" w:sz="0" w:space="0" w:color="auto"/>
            <w:left w:val="none" w:sz="0" w:space="0" w:color="auto"/>
            <w:bottom w:val="none" w:sz="0" w:space="0" w:color="auto"/>
            <w:right w:val="none" w:sz="0" w:space="0" w:color="auto"/>
          </w:divBdr>
        </w:div>
        <w:div w:id="1125461202">
          <w:marLeft w:val="0"/>
          <w:marRight w:val="0"/>
          <w:marTop w:val="0"/>
          <w:marBottom w:val="0"/>
          <w:divBdr>
            <w:top w:val="none" w:sz="0" w:space="0" w:color="auto"/>
            <w:left w:val="none" w:sz="0" w:space="0" w:color="auto"/>
            <w:bottom w:val="none" w:sz="0" w:space="0" w:color="auto"/>
            <w:right w:val="none" w:sz="0" w:space="0" w:color="auto"/>
          </w:divBdr>
        </w:div>
        <w:div w:id="461846381">
          <w:marLeft w:val="0"/>
          <w:marRight w:val="0"/>
          <w:marTop w:val="0"/>
          <w:marBottom w:val="0"/>
          <w:divBdr>
            <w:top w:val="none" w:sz="0" w:space="0" w:color="auto"/>
            <w:left w:val="none" w:sz="0" w:space="0" w:color="auto"/>
            <w:bottom w:val="none" w:sz="0" w:space="0" w:color="auto"/>
            <w:right w:val="none" w:sz="0" w:space="0" w:color="auto"/>
          </w:divBdr>
        </w:div>
        <w:div w:id="1682272324">
          <w:marLeft w:val="0"/>
          <w:marRight w:val="0"/>
          <w:marTop w:val="0"/>
          <w:marBottom w:val="0"/>
          <w:divBdr>
            <w:top w:val="none" w:sz="0" w:space="0" w:color="auto"/>
            <w:left w:val="none" w:sz="0" w:space="0" w:color="auto"/>
            <w:bottom w:val="none" w:sz="0" w:space="0" w:color="auto"/>
            <w:right w:val="none" w:sz="0" w:space="0" w:color="auto"/>
          </w:divBdr>
        </w:div>
        <w:div w:id="2074111869">
          <w:marLeft w:val="0"/>
          <w:marRight w:val="0"/>
          <w:marTop w:val="0"/>
          <w:marBottom w:val="0"/>
          <w:divBdr>
            <w:top w:val="none" w:sz="0" w:space="0" w:color="auto"/>
            <w:left w:val="none" w:sz="0" w:space="0" w:color="auto"/>
            <w:bottom w:val="none" w:sz="0" w:space="0" w:color="auto"/>
            <w:right w:val="none" w:sz="0" w:space="0" w:color="auto"/>
          </w:divBdr>
        </w:div>
        <w:div w:id="854924456">
          <w:marLeft w:val="0"/>
          <w:marRight w:val="0"/>
          <w:marTop w:val="0"/>
          <w:marBottom w:val="0"/>
          <w:divBdr>
            <w:top w:val="none" w:sz="0" w:space="0" w:color="auto"/>
            <w:left w:val="none" w:sz="0" w:space="0" w:color="auto"/>
            <w:bottom w:val="none" w:sz="0" w:space="0" w:color="auto"/>
            <w:right w:val="none" w:sz="0" w:space="0" w:color="auto"/>
          </w:divBdr>
        </w:div>
        <w:div w:id="1466003234">
          <w:marLeft w:val="0"/>
          <w:marRight w:val="0"/>
          <w:marTop w:val="0"/>
          <w:marBottom w:val="0"/>
          <w:divBdr>
            <w:top w:val="none" w:sz="0" w:space="0" w:color="auto"/>
            <w:left w:val="none" w:sz="0" w:space="0" w:color="auto"/>
            <w:bottom w:val="none" w:sz="0" w:space="0" w:color="auto"/>
            <w:right w:val="none" w:sz="0" w:space="0" w:color="auto"/>
          </w:divBdr>
        </w:div>
        <w:div w:id="235436095">
          <w:marLeft w:val="0"/>
          <w:marRight w:val="0"/>
          <w:marTop w:val="0"/>
          <w:marBottom w:val="0"/>
          <w:divBdr>
            <w:top w:val="none" w:sz="0" w:space="0" w:color="auto"/>
            <w:left w:val="none" w:sz="0" w:space="0" w:color="auto"/>
            <w:bottom w:val="none" w:sz="0" w:space="0" w:color="auto"/>
            <w:right w:val="none" w:sz="0" w:space="0" w:color="auto"/>
          </w:divBdr>
        </w:div>
        <w:div w:id="1057389125">
          <w:marLeft w:val="0"/>
          <w:marRight w:val="0"/>
          <w:marTop w:val="0"/>
          <w:marBottom w:val="0"/>
          <w:divBdr>
            <w:top w:val="none" w:sz="0" w:space="0" w:color="auto"/>
            <w:left w:val="none" w:sz="0" w:space="0" w:color="auto"/>
            <w:bottom w:val="none" w:sz="0" w:space="0" w:color="auto"/>
            <w:right w:val="none" w:sz="0" w:space="0" w:color="auto"/>
          </w:divBdr>
        </w:div>
        <w:div w:id="1268536823">
          <w:marLeft w:val="0"/>
          <w:marRight w:val="0"/>
          <w:marTop w:val="0"/>
          <w:marBottom w:val="0"/>
          <w:divBdr>
            <w:top w:val="none" w:sz="0" w:space="0" w:color="auto"/>
            <w:left w:val="none" w:sz="0" w:space="0" w:color="auto"/>
            <w:bottom w:val="none" w:sz="0" w:space="0" w:color="auto"/>
            <w:right w:val="none" w:sz="0" w:space="0" w:color="auto"/>
          </w:divBdr>
        </w:div>
        <w:div w:id="30959351">
          <w:marLeft w:val="0"/>
          <w:marRight w:val="0"/>
          <w:marTop w:val="0"/>
          <w:marBottom w:val="0"/>
          <w:divBdr>
            <w:top w:val="none" w:sz="0" w:space="0" w:color="auto"/>
            <w:left w:val="none" w:sz="0" w:space="0" w:color="auto"/>
            <w:bottom w:val="none" w:sz="0" w:space="0" w:color="auto"/>
            <w:right w:val="none" w:sz="0" w:space="0" w:color="auto"/>
          </w:divBdr>
        </w:div>
        <w:div w:id="862280888">
          <w:marLeft w:val="0"/>
          <w:marRight w:val="0"/>
          <w:marTop w:val="0"/>
          <w:marBottom w:val="0"/>
          <w:divBdr>
            <w:top w:val="none" w:sz="0" w:space="0" w:color="auto"/>
            <w:left w:val="none" w:sz="0" w:space="0" w:color="auto"/>
            <w:bottom w:val="none" w:sz="0" w:space="0" w:color="auto"/>
            <w:right w:val="none" w:sz="0" w:space="0" w:color="auto"/>
          </w:divBdr>
        </w:div>
        <w:div w:id="362946676">
          <w:marLeft w:val="0"/>
          <w:marRight w:val="0"/>
          <w:marTop w:val="0"/>
          <w:marBottom w:val="0"/>
          <w:divBdr>
            <w:top w:val="none" w:sz="0" w:space="0" w:color="auto"/>
            <w:left w:val="none" w:sz="0" w:space="0" w:color="auto"/>
            <w:bottom w:val="none" w:sz="0" w:space="0" w:color="auto"/>
            <w:right w:val="none" w:sz="0" w:space="0" w:color="auto"/>
          </w:divBdr>
        </w:div>
        <w:div w:id="228619730">
          <w:marLeft w:val="0"/>
          <w:marRight w:val="0"/>
          <w:marTop w:val="0"/>
          <w:marBottom w:val="0"/>
          <w:divBdr>
            <w:top w:val="none" w:sz="0" w:space="0" w:color="auto"/>
            <w:left w:val="none" w:sz="0" w:space="0" w:color="auto"/>
            <w:bottom w:val="none" w:sz="0" w:space="0" w:color="auto"/>
            <w:right w:val="none" w:sz="0" w:space="0" w:color="auto"/>
          </w:divBdr>
        </w:div>
        <w:div w:id="933628522">
          <w:marLeft w:val="0"/>
          <w:marRight w:val="0"/>
          <w:marTop w:val="0"/>
          <w:marBottom w:val="0"/>
          <w:divBdr>
            <w:top w:val="none" w:sz="0" w:space="0" w:color="auto"/>
            <w:left w:val="none" w:sz="0" w:space="0" w:color="auto"/>
            <w:bottom w:val="none" w:sz="0" w:space="0" w:color="auto"/>
            <w:right w:val="none" w:sz="0" w:space="0" w:color="auto"/>
          </w:divBdr>
        </w:div>
        <w:div w:id="7604172">
          <w:marLeft w:val="0"/>
          <w:marRight w:val="0"/>
          <w:marTop w:val="0"/>
          <w:marBottom w:val="0"/>
          <w:divBdr>
            <w:top w:val="none" w:sz="0" w:space="0" w:color="auto"/>
            <w:left w:val="none" w:sz="0" w:space="0" w:color="auto"/>
            <w:bottom w:val="none" w:sz="0" w:space="0" w:color="auto"/>
            <w:right w:val="none" w:sz="0" w:space="0" w:color="auto"/>
          </w:divBdr>
        </w:div>
        <w:div w:id="370350839">
          <w:marLeft w:val="0"/>
          <w:marRight w:val="0"/>
          <w:marTop w:val="0"/>
          <w:marBottom w:val="0"/>
          <w:divBdr>
            <w:top w:val="none" w:sz="0" w:space="0" w:color="auto"/>
            <w:left w:val="none" w:sz="0" w:space="0" w:color="auto"/>
            <w:bottom w:val="none" w:sz="0" w:space="0" w:color="auto"/>
            <w:right w:val="none" w:sz="0" w:space="0" w:color="auto"/>
          </w:divBdr>
        </w:div>
        <w:div w:id="2089689811">
          <w:marLeft w:val="0"/>
          <w:marRight w:val="0"/>
          <w:marTop w:val="0"/>
          <w:marBottom w:val="0"/>
          <w:divBdr>
            <w:top w:val="none" w:sz="0" w:space="0" w:color="auto"/>
            <w:left w:val="none" w:sz="0" w:space="0" w:color="auto"/>
            <w:bottom w:val="none" w:sz="0" w:space="0" w:color="auto"/>
            <w:right w:val="none" w:sz="0" w:space="0" w:color="auto"/>
          </w:divBdr>
        </w:div>
      </w:divsChild>
    </w:div>
    <w:div w:id="690957733">
      <w:bodyDiv w:val="1"/>
      <w:marLeft w:val="0"/>
      <w:marRight w:val="0"/>
      <w:marTop w:val="0"/>
      <w:marBottom w:val="0"/>
      <w:divBdr>
        <w:top w:val="none" w:sz="0" w:space="0" w:color="auto"/>
        <w:left w:val="none" w:sz="0" w:space="0" w:color="auto"/>
        <w:bottom w:val="none" w:sz="0" w:space="0" w:color="auto"/>
        <w:right w:val="none" w:sz="0" w:space="0" w:color="auto"/>
      </w:divBdr>
    </w:div>
    <w:div w:id="898398529">
      <w:bodyDiv w:val="1"/>
      <w:marLeft w:val="0"/>
      <w:marRight w:val="0"/>
      <w:marTop w:val="0"/>
      <w:marBottom w:val="0"/>
      <w:divBdr>
        <w:top w:val="none" w:sz="0" w:space="0" w:color="auto"/>
        <w:left w:val="none" w:sz="0" w:space="0" w:color="auto"/>
        <w:bottom w:val="none" w:sz="0" w:space="0" w:color="auto"/>
        <w:right w:val="none" w:sz="0" w:space="0" w:color="auto"/>
      </w:divBdr>
      <w:divsChild>
        <w:div w:id="1741632961">
          <w:marLeft w:val="0"/>
          <w:marRight w:val="0"/>
          <w:marTop w:val="0"/>
          <w:marBottom w:val="0"/>
          <w:divBdr>
            <w:top w:val="none" w:sz="0" w:space="0" w:color="auto"/>
            <w:left w:val="none" w:sz="0" w:space="0" w:color="auto"/>
            <w:bottom w:val="none" w:sz="0" w:space="0" w:color="auto"/>
            <w:right w:val="none" w:sz="0" w:space="0" w:color="auto"/>
          </w:divBdr>
          <w:divsChild>
            <w:div w:id="12330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si.gov.uk/acts/acts1990/ukpga_19900008_en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Stuart</dc:creator>
  <cp:keywords/>
  <dc:description/>
  <cp:lastModifiedBy>Williams, Helen E (Planning)</cp:lastModifiedBy>
  <cp:revision>2</cp:revision>
  <dcterms:created xsi:type="dcterms:W3CDTF">2022-01-10T11:05:00Z</dcterms:created>
  <dcterms:modified xsi:type="dcterms:W3CDTF">2022-01-10T11:05:00Z</dcterms:modified>
</cp:coreProperties>
</file>